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FF3E68" w:rsidP="00243231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11 апреля 2022 года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№ 693-п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243231" w:rsidRDefault="00243231" w:rsidP="00243231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243231" w:rsidRDefault="00243231" w:rsidP="00243231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243231" w:rsidRPr="00865C55" w:rsidRDefault="00243231" w:rsidP="00243231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243231" w:rsidRPr="00243231" w:rsidRDefault="00243231" w:rsidP="00243231">
      <w:pPr>
        <w:spacing w:line="276" w:lineRule="auto"/>
        <w:jc w:val="both"/>
        <w:rPr>
          <w:rFonts w:ascii="PT Astra Serif" w:eastAsia="Arial" w:hAnsi="PT Astra Serif"/>
          <w:sz w:val="28"/>
          <w:szCs w:val="28"/>
        </w:rPr>
      </w:pPr>
      <w:r w:rsidRPr="00243231">
        <w:rPr>
          <w:rFonts w:ascii="PT Astra Serif" w:eastAsia="Arial" w:hAnsi="PT Astra Serif"/>
          <w:sz w:val="28"/>
          <w:szCs w:val="28"/>
        </w:rPr>
        <w:t>О внесении изменений в постановление</w:t>
      </w:r>
    </w:p>
    <w:p w:rsidR="00243231" w:rsidRPr="00243231" w:rsidRDefault="00243231" w:rsidP="00243231">
      <w:pPr>
        <w:spacing w:line="276" w:lineRule="auto"/>
        <w:jc w:val="both"/>
        <w:rPr>
          <w:rFonts w:ascii="PT Astra Serif" w:eastAsia="Arial" w:hAnsi="PT Astra Serif"/>
          <w:sz w:val="28"/>
          <w:szCs w:val="28"/>
        </w:rPr>
      </w:pPr>
      <w:r w:rsidRPr="00243231">
        <w:rPr>
          <w:rFonts w:ascii="PT Astra Serif" w:eastAsia="Arial" w:hAnsi="PT Astra Serif"/>
          <w:sz w:val="28"/>
          <w:szCs w:val="28"/>
        </w:rPr>
        <w:t xml:space="preserve">администрации города </w:t>
      </w:r>
      <w:proofErr w:type="spellStart"/>
      <w:r w:rsidRPr="00243231">
        <w:rPr>
          <w:rFonts w:ascii="PT Astra Serif" w:eastAsia="Arial" w:hAnsi="PT Astra Serif"/>
          <w:sz w:val="28"/>
          <w:szCs w:val="28"/>
        </w:rPr>
        <w:t>Югорска</w:t>
      </w:r>
      <w:proofErr w:type="spellEnd"/>
      <w:r w:rsidRPr="00243231">
        <w:rPr>
          <w:rFonts w:ascii="PT Astra Serif" w:eastAsia="Arial" w:hAnsi="PT Astra Serif"/>
          <w:sz w:val="28"/>
          <w:szCs w:val="28"/>
        </w:rPr>
        <w:t xml:space="preserve"> </w:t>
      </w:r>
    </w:p>
    <w:p w:rsidR="00243231" w:rsidRPr="00243231" w:rsidRDefault="00243231" w:rsidP="00243231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43231">
        <w:rPr>
          <w:rFonts w:ascii="PT Astra Serif" w:eastAsia="Arial" w:hAnsi="PT Astra Serif"/>
          <w:sz w:val="28"/>
          <w:szCs w:val="28"/>
        </w:rPr>
        <w:t xml:space="preserve">от 16.05.2019 </w:t>
      </w:r>
      <w:bookmarkStart w:id="0" w:name="_GoBack"/>
      <w:bookmarkEnd w:id="0"/>
      <w:r w:rsidRPr="00243231">
        <w:rPr>
          <w:rFonts w:ascii="PT Astra Serif" w:eastAsia="Arial" w:hAnsi="PT Astra Serif"/>
          <w:sz w:val="28"/>
          <w:szCs w:val="28"/>
        </w:rPr>
        <w:t>№ 965 «</w:t>
      </w:r>
      <w:r w:rsidRPr="00243231">
        <w:rPr>
          <w:rFonts w:ascii="PT Astra Serif" w:hAnsi="PT Astra Serif"/>
          <w:color w:val="000000"/>
          <w:sz w:val="28"/>
          <w:szCs w:val="28"/>
        </w:rPr>
        <w:t>Об утверждении</w:t>
      </w:r>
    </w:p>
    <w:p w:rsidR="00243231" w:rsidRPr="00243231" w:rsidRDefault="00243231" w:rsidP="00243231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43231">
        <w:rPr>
          <w:rFonts w:ascii="PT Astra Serif" w:hAnsi="PT Astra Serif"/>
          <w:color w:val="000000"/>
          <w:sz w:val="28"/>
          <w:szCs w:val="28"/>
        </w:rPr>
        <w:t>Положения об организации предоставления</w:t>
      </w:r>
    </w:p>
    <w:p w:rsidR="00243231" w:rsidRPr="00243231" w:rsidRDefault="00243231" w:rsidP="00243231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43231">
        <w:rPr>
          <w:rFonts w:ascii="PT Astra Serif" w:hAnsi="PT Astra Serif"/>
          <w:color w:val="000000"/>
          <w:sz w:val="28"/>
          <w:szCs w:val="28"/>
        </w:rPr>
        <w:t xml:space="preserve">дополнительного образования детей </w:t>
      </w:r>
    </w:p>
    <w:p w:rsidR="00243231" w:rsidRPr="00243231" w:rsidRDefault="00243231" w:rsidP="00243231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43231">
        <w:rPr>
          <w:rFonts w:ascii="PT Astra Serif" w:hAnsi="PT Astra Serif"/>
          <w:color w:val="000000"/>
          <w:sz w:val="28"/>
          <w:szCs w:val="28"/>
        </w:rPr>
        <w:t xml:space="preserve">в муниципальных образовательных </w:t>
      </w:r>
    </w:p>
    <w:p w:rsidR="00243231" w:rsidRPr="00243231" w:rsidRDefault="00243231" w:rsidP="00243231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243231">
        <w:rPr>
          <w:rFonts w:ascii="PT Astra Serif" w:hAnsi="PT Astra Serif"/>
          <w:color w:val="000000"/>
          <w:sz w:val="28"/>
          <w:szCs w:val="28"/>
        </w:rPr>
        <w:t>организациях</w:t>
      </w:r>
      <w:proofErr w:type="gramEnd"/>
      <w:r w:rsidRPr="00243231">
        <w:rPr>
          <w:rFonts w:ascii="PT Astra Serif" w:hAnsi="PT Astra Serif"/>
          <w:color w:val="000000"/>
          <w:sz w:val="28"/>
          <w:szCs w:val="28"/>
        </w:rPr>
        <w:t xml:space="preserve"> города </w:t>
      </w:r>
      <w:proofErr w:type="spellStart"/>
      <w:r w:rsidRPr="00243231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Pr="00243231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243231" w:rsidRPr="00243231" w:rsidRDefault="00243231" w:rsidP="00243231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243231">
        <w:rPr>
          <w:rFonts w:ascii="PT Astra Serif" w:hAnsi="PT Astra Serif"/>
          <w:color w:val="000000"/>
          <w:sz w:val="28"/>
          <w:szCs w:val="28"/>
        </w:rPr>
        <w:t xml:space="preserve">(за исключением дополнительного </w:t>
      </w:r>
      <w:proofErr w:type="gramEnd"/>
    </w:p>
    <w:p w:rsidR="00243231" w:rsidRPr="00243231" w:rsidRDefault="00243231" w:rsidP="00243231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43231">
        <w:rPr>
          <w:rFonts w:ascii="PT Astra Serif" w:hAnsi="PT Astra Serif"/>
          <w:color w:val="000000"/>
          <w:sz w:val="28"/>
          <w:szCs w:val="28"/>
        </w:rPr>
        <w:t xml:space="preserve">образования детей, </w:t>
      </w:r>
      <w:proofErr w:type="gramStart"/>
      <w:r w:rsidRPr="00243231">
        <w:rPr>
          <w:rFonts w:ascii="PT Astra Serif" w:hAnsi="PT Astra Serif"/>
          <w:color w:val="000000"/>
          <w:sz w:val="28"/>
          <w:szCs w:val="28"/>
        </w:rPr>
        <w:t>финансовое</w:t>
      </w:r>
      <w:proofErr w:type="gramEnd"/>
    </w:p>
    <w:p w:rsidR="00243231" w:rsidRPr="00243231" w:rsidRDefault="00243231" w:rsidP="00243231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243231">
        <w:rPr>
          <w:rFonts w:ascii="PT Astra Serif" w:hAnsi="PT Astra Serif"/>
          <w:color w:val="000000"/>
          <w:sz w:val="28"/>
          <w:szCs w:val="28"/>
        </w:rPr>
        <w:t>обеспечение</w:t>
      </w:r>
      <w:proofErr w:type="gramEnd"/>
      <w:r w:rsidRPr="00243231">
        <w:rPr>
          <w:rFonts w:ascii="PT Astra Serif" w:hAnsi="PT Astra Serif"/>
          <w:color w:val="000000"/>
          <w:sz w:val="28"/>
          <w:szCs w:val="28"/>
        </w:rPr>
        <w:t xml:space="preserve"> которого осуществляется </w:t>
      </w:r>
    </w:p>
    <w:p w:rsidR="00243231" w:rsidRPr="00243231" w:rsidRDefault="00243231" w:rsidP="00243231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43231">
        <w:rPr>
          <w:rFonts w:ascii="PT Astra Serif" w:hAnsi="PT Astra Serif"/>
          <w:color w:val="000000"/>
          <w:sz w:val="28"/>
          <w:szCs w:val="28"/>
        </w:rPr>
        <w:t xml:space="preserve">органами государственной власти </w:t>
      </w:r>
    </w:p>
    <w:p w:rsidR="00243231" w:rsidRPr="00243231" w:rsidRDefault="00243231" w:rsidP="00243231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43231">
        <w:rPr>
          <w:rFonts w:ascii="PT Astra Serif" w:hAnsi="PT Astra Serif"/>
          <w:color w:val="000000"/>
          <w:sz w:val="28"/>
          <w:szCs w:val="28"/>
        </w:rPr>
        <w:t>субъекта Российской Федерации)»</w:t>
      </w:r>
    </w:p>
    <w:p w:rsidR="00243231" w:rsidRDefault="00243231" w:rsidP="00243231">
      <w:pPr>
        <w:pStyle w:val="2"/>
        <w:tabs>
          <w:tab w:val="left" w:pos="993"/>
          <w:tab w:val="left" w:pos="1134"/>
        </w:tabs>
        <w:spacing w:before="0" w:line="276" w:lineRule="auto"/>
        <w:jc w:val="both"/>
        <w:rPr>
          <w:rFonts w:ascii="PT Astra Serif" w:eastAsia="Calibri" w:hAnsi="PT Astra Serif"/>
          <w:b w:val="0"/>
          <w:color w:val="auto"/>
          <w:sz w:val="28"/>
          <w:szCs w:val="28"/>
        </w:rPr>
      </w:pPr>
    </w:p>
    <w:p w:rsidR="00243231" w:rsidRDefault="00243231" w:rsidP="00243231">
      <w:pPr>
        <w:pStyle w:val="2"/>
        <w:tabs>
          <w:tab w:val="left" w:pos="993"/>
          <w:tab w:val="left" w:pos="1134"/>
        </w:tabs>
        <w:spacing w:before="0" w:line="276" w:lineRule="auto"/>
        <w:jc w:val="both"/>
        <w:rPr>
          <w:rFonts w:ascii="PT Astra Serif" w:eastAsia="Calibri" w:hAnsi="PT Astra Serif"/>
          <w:b w:val="0"/>
          <w:color w:val="auto"/>
          <w:sz w:val="28"/>
          <w:szCs w:val="28"/>
        </w:rPr>
      </w:pPr>
    </w:p>
    <w:p w:rsidR="00243231" w:rsidRDefault="00243231" w:rsidP="00243231">
      <w:pPr>
        <w:pStyle w:val="2"/>
        <w:tabs>
          <w:tab w:val="left" w:pos="993"/>
          <w:tab w:val="left" w:pos="1134"/>
        </w:tabs>
        <w:spacing w:before="0" w:line="276" w:lineRule="auto"/>
        <w:jc w:val="both"/>
        <w:rPr>
          <w:rFonts w:ascii="PT Astra Serif" w:eastAsia="Calibri" w:hAnsi="PT Astra Serif"/>
          <w:b w:val="0"/>
          <w:color w:val="auto"/>
          <w:sz w:val="28"/>
          <w:szCs w:val="28"/>
        </w:rPr>
      </w:pPr>
    </w:p>
    <w:p w:rsidR="00243231" w:rsidRPr="00243231" w:rsidRDefault="00243231" w:rsidP="00243231">
      <w:pPr>
        <w:pStyle w:val="2"/>
        <w:tabs>
          <w:tab w:val="left" w:pos="993"/>
          <w:tab w:val="left" w:pos="1134"/>
        </w:tabs>
        <w:spacing w:before="0" w:line="276" w:lineRule="auto"/>
        <w:ind w:firstLine="709"/>
        <w:jc w:val="both"/>
        <w:rPr>
          <w:rFonts w:ascii="PT Astra Serif" w:eastAsia="Calibri" w:hAnsi="PT Astra Serif"/>
          <w:b w:val="0"/>
          <w:color w:val="auto"/>
          <w:sz w:val="28"/>
          <w:szCs w:val="28"/>
        </w:rPr>
      </w:pPr>
      <w:r w:rsidRPr="00243231">
        <w:rPr>
          <w:rFonts w:ascii="PT Astra Serif" w:eastAsia="Calibri" w:hAnsi="PT Astra Serif"/>
          <w:b w:val="0"/>
          <w:color w:val="auto"/>
          <w:sz w:val="28"/>
          <w:szCs w:val="28"/>
        </w:rPr>
        <w:t xml:space="preserve">В соответствии с Федеральным законом от 30.04.2021 №127-ФЗ </w:t>
      </w:r>
      <w:r>
        <w:rPr>
          <w:rFonts w:ascii="PT Astra Serif" w:eastAsia="Calibri" w:hAnsi="PT Astra Serif"/>
          <w:b w:val="0"/>
          <w:color w:val="auto"/>
          <w:sz w:val="28"/>
          <w:szCs w:val="28"/>
        </w:rPr>
        <w:t xml:space="preserve">                     </w:t>
      </w:r>
      <w:r w:rsidRPr="00243231">
        <w:rPr>
          <w:rFonts w:ascii="PT Astra Serif" w:eastAsia="Calibri" w:hAnsi="PT Astra Serif"/>
          <w:b w:val="0"/>
          <w:color w:val="auto"/>
          <w:sz w:val="28"/>
          <w:szCs w:val="28"/>
        </w:rPr>
        <w:t>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Федерации»:</w:t>
      </w:r>
    </w:p>
    <w:p w:rsidR="00243231" w:rsidRPr="00243231" w:rsidRDefault="00243231" w:rsidP="00243231">
      <w:pPr>
        <w:tabs>
          <w:tab w:val="left" w:pos="1134"/>
        </w:tabs>
        <w:spacing w:line="276" w:lineRule="auto"/>
        <w:ind w:firstLine="709"/>
        <w:jc w:val="both"/>
        <w:rPr>
          <w:rFonts w:ascii="PT Astra Serif" w:eastAsia="Lucida Sans Unicode" w:hAnsi="PT Astra Serif"/>
          <w:sz w:val="28"/>
          <w:szCs w:val="28"/>
          <w:lang w:bidi="en-US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proofErr w:type="gramStart"/>
      <w:r w:rsidRPr="00243231">
        <w:rPr>
          <w:rFonts w:ascii="PT Astra Serif" w:hAnsi="PT Astra Serif"/>
          <w:color w:val="000000"/>
          <w:sz w:val="28"/>
          <w:szCs w:val="28"/>
        </w:rPr>
        <w:t xml:space="preserve">Внести в приложение к </w:t>
      </w:r>
      <w:r w:rsidRPr="00243231">
        <w:rPr>
          <w:rFonts w:ascii="PT Astra Serif" w:eastAsia="Arial" w:hAnsi="PT Astra Serif"/>
          <w:sz w:val="28"/>
          <w:szCs w:val="28"/>
        </w:rPr>
        <w:t xml:space="preserve">постановлению администрации города </w:t>
      </w:r>
      <w:proofErr w:type="spellStart"/>
      <w:r w:rsidRPr="00243231">
        <w:rPr>
          <w:rFonts w:ascii="PT Astra Serif" w:eastAsia="Arial" w:hAnsi="PT Astra Serif"/>
          <w:sz w:val="28"/>
          <w:szCs w:val="28"/>
        </w:rPr>
        <w:t>Югорска</w:t>
      </w:r>
      <w:proofErr w:type="spellEnd"/>
      <w:r w:rsidRPr="00243231">
        <w:rPr>
          <w:rFonts w:ascii="PT Astra Serif" w:eastAsia="Arial" w:hAnsi="PT Astra Serif"/>
          <w:sz w:val="28"/>
          <w:szCs w:val="28"/>
        </w:rPr>
        <w:t xml:space="preserve"> от 16.05.2019 № 965 «</w:t>
      </w:r>
      <w:r w:rsidRPr="00243231">
        <w:rPr>
          <w:rFonts w:ascii="PT Astra Serif" w:hAnsi="PT Astra Serif"/>
          <w:color w:val="000000"/>
          <w:sz w:val="28"/>
          <w:szCs w:val="28"/>
        </w:rPr>
        <w:t>Об утверждении</w:t>
      </w:r>
      <w:r w:rsidR="0062196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43231">
        <w:rPr>
          <w:rFonts w:ascii="PT Astra Serif" w:hAnsi="PT Astra Serif"/>
          <w:color w:val="000000"/>
          <w:sz w:val="28"/>
          <w:szCs w:val="28"/>
        </w:rPr>
        <w:t>Положения об организации предоставления</w:t>
      </w:r>
      <w:r w:rsidR="0062196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43231">
        <w:rPr>
          <w:rFonts w:ascii="PT Astra Serif" w:hAnsi="PT Astra Serif"/>
          <w:color w:val="000000"/>
          <w:sz w:val="28"/>
          <w:szCs w:val="28"/>
        </w:rPr>
        <w:t xml:space="preserve">дополнительного образования детей в муниципальных образовательных организациях города </w:t>
      </w:r>
      <w:proofErr w:type="spellStart"/>
      <w:r w:rsidRPr="00243231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Pr="00243231">
        <w:rPr>
          <w:rFonts w:ascii="PT Astra Serif" w:hAnsi="PT Astra Serif"/>
          <w:color w:val="000000"/>
          <w:sz w:val="28"/>
          <w:szCs w:val="28"/>
        </w:rPr>
        <w:t xml:space="preserve">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</w:t>
      </w:r>
      <w:r w:rsidRPr="00243231">
        <w:rPr>
          <w:rFonts w:ascii="PT Astra Serif" w:hAnsi="PT Astra Serif"/>
          <w:color w:val="000000"/>
          <w:sz w:val="28"/>
          <w:szCs w:val="28"/>
        </w:rPr>
        <w:lastRenderedPageBreak/>
        <w:t xml:space="preserve">Федерации)» (с изменениями от 25.03.2020 № 482, от 28.12.2020 № 1988,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</w:t>
      </w:r>
      <w:r w:rsidRPr="00243231">
        <w:rPr>
          <w:rFonts w:ascii="PT Astra Serif" w:hAnsi="PT Astra Serif"/>
          <w:color w:val="000000"/>
          <w:sz w:val="28"/>
          <w:szCs w:val="28"/>
        </w:rPr>
        <w:t>от 20.05.2021 № 813-п) следующие изменения:</w:t>
      </w:r>
      <w:proofErr w:type="gramEnd"/>
    </w:p>
    <w:p w:rsidR="00243231" w:rsidRPr="00243231" w:rsidRDefault="00243231" w:rsidP="00243231">
      <w:pPr>
        <w:tabs>
          <w:tab w:val="left" w:pos="1276"/>
        </w:tabs>
        <w:spacing w:line="276" w:lineRule="auto"/>
        <w:ind w:firstLine="709"/>
        <w:jc w:val="both"/>
        <w:rPr>
          <w:rFonts w:ascii="PT Astra Serif" w:eastAsia="Lucida Sans Unicode" w:hAnsi="PT Astra Serif"/>
          <w:sz w:val="28"/>
          <w:szCs w:val="28"/>
          <w:lang w:bidi="en-US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1.1. </w:t>
      </w:r>
      <w:r w:rsidRPr="00243231">
        <w:rPr>
          <w:rFonts w:ascii="PT Astra Serif" w:hAnsi="PT Astra Serif"/>
          <w:color w:val="000000"/>
          <w:sz w:val="28"/>
          <w:szCs w:val="28"/>
        </w:rPr>
        <w:t>В разделе 1:</w:t>
      </w:r>
    </w:p>
    <w:p w:rsidR="00243231" w:rsidRPr="00243231" w:rsidRDefault="00243231" w:rsidP="00243231">
      <w:pPr>
        <w:tabs>
          <w:tab w:val="left" w:pos="1276"/>
        </w:tabs>
        <w:spacing w:line="276" w:lineRule="auto"/>
        <w:ind w:firstLine="709"/>
        <w:jc w:val="both"/>
        <w:rPr>
          <w:rFonts w:ascii="PT Astra Serif" w:eastAsia="Lucida Sans Unicode" w:hAnsi="PT Astra Serif"/>
          <w:sz w:val="28"/>
          <w:szCs w:val="28"/>
          <w:lang w:bidi="en-US"/>
        </w:rPr>
      </w:pPr>
      <w:r>
        <w:rPr>
          <w:rStyle w:val="ac"/>
          <w:rFonts w:ascii="PT Astra Serif" w:hAnsi="PT Astra Serif"/>
          <w:i w:val="0"/>
          <w:sz w:val="28"/>
          <w:szCs w:val="28"/>
        </w:rPr>
        <w:t xml:space="preserve">1.1.1. </w:t>
      </w:r>
      <w:r w:rsidRPr="00243231">
        <w:rPr>
          <w:rStyle w:val="ac"/>
          <w:rFonts w:ascii="PT Astra Serif" w:hAnsi="PT Astra Serif"/>
          <w:i w:val="0"/>
          <w:sz w:val="28"/>
          <w:szCs w:val="28"/>
        </w:rPr>
        <w:t>В пункте 1.2 после слов «предпрофессиональные программы» дополнить словами «в области искусств».</w:t>
      </w:r>
    </w:p>
    <w:p w:rsidR="00243231" w:rsidRPr="00243231" w:rsidRDefault="00243231" w:rsidP="00243231">
      <w:pPr>
        <w:pStyle w:val="2"/>
        <w:keepLines w:val="0"/>
        <w:tabs>
          <w:tab w:val="left" w:pos="0"/>
          <w:tab w:val="left" w:pos="1276"/>
        </w:tabs>
        <w:spacing w:before="0" w:line="276" w:lineRule="auto"/>
        <w:ind w:firstLine="709"/>
        <w:jc w:val="both"/>
        <w:rPr>
          <w:rFonts w:ascii="PT Astra Serif" w:eastAsia="Times New Roman" w:hAnsi="PT Astra Serif"/>
          <w:b w:val="0"/>
          <w:color w:val="auto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1.2. </w:t>
      </w:r>
      <w:r w:rsidRPr="00243231">
        <w:rPr>
          <w:rFonts w:ascii="PT Astra Serif" w:hAnsi="PT Astra Serif"/>
          <w:b w:val="0"/>
          <w:color w:val="000000"/>
          <w:sz w:val="28"/>
          <w:szCs w:val="28"/>
        </w:rPr>
        <w:t>Абзац пятый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243231">
        <w:rPr>
          <w:rFonts w:ascii="PT Astra Serif" w:hAnsi="PT Astra Serif"/>
          <w:b w:val="0"/>
          <w:color w:val="000000"/>
          <w:sz w:val="28"/>
          <w:szCs w:val="28"/>
        </w:rPr>
        <w:t>пункта 2.1 раздела 2</w:t>
      </w:r>
      <w:r w:rsidRPr="00243231">
        <w:rPr>
          <w:rFonts w:ascii="PT Astra Serif" w:hAnsi="PT Astra Serif"/>
          <w:b w:val="0"/>
          <w:sz w:val="28"/>
          <w:szCs w:val="28"/>
        </w:rPr>
        <w:t xml:space="preserve"> </w:t>
      </w:r>
      <w:r w:rsidRPr="00243231">
        <w:rPr>
          <w:rFonts w:ascii="PT Astra Serif" w:hAnsi="PT Astra Serif"/>
          <w:b w:val="0"/>
          <w:color w:val="auto"/>
          <w:sz w:val="28"/>
          <w:szCs w:val="28"/>
        </w:rPr>
        <w:t>признать утратившим силу.</w:t>
      </w:r>
    </w:p>
    <w:p w:rsidR="00243231" w:rsidRPr="00243231" w:rsidRDefault="00243231" w:rsidP="00243231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Pr="00243231">
        <w:rPr>
          <w:rFonts w:ascii="PT Astra Serif" w:hAnsi="PT Astra Serif"/>
          <w:sz w:val="28"/>
          <w:szCs w:val="28"/>
        </w:rPr>
        <w:t>В разделе 4:</w:t>
      </w:r>
    </w:p>
    <w:p w:rsidR="00243231" w:rsidRPr="00243231" w:rsidRDefault="00243231" w:rsidP="00243231">
      <w:pPr>
        <w:tabs>
          <w:tab w:val="left" w:pos="1276"/>
        </w:tabs>
        <w:spacing w:line="276" w:lineRule="auto"/>
        <w:ind w:firstLine="709"/>
        <w:jc w:val="both"/>
        <w:rPr>
          <w:rStyle w:val="ac"/>
          <w:rFonts w:eastAsia="Lucida Sans Unicode"/>
          <w:i w:val="0"/>
          <w:iCs w:val="0"/>
          <w:sz w:val="28"/>
          <w:szCs w:val="28"/>
          <w:lang w:bidi="en-US"/>
        </w:rPr>
      </w:pPr>
      <w:r>
        <w:rPr>
          <w:rFonts w:ascii="PT Astra Serif" w:hAnsi="PT Astra Serif"/>
          <w:sz w:val="28"/>
          <w:szCs w:val="28"/>
        </w:rPr>
        <w:t xml:space="preserve">1.3.1. </w:t>
      </w:r>
      <w:r w:rsidRPr="00243231">
        <w:rPr>
          <w:rFonts w:ascii="PT Astra Serif" w:hAnsi="PT Astra Serif"/>
          <w:sz w:val="28"/>
          <w:szCs w:val="28"/>
        </w:rPr>
        <w:t>В пункте 4.1, 4.18</w:t>
      </w:r>
      <w:r>
        <w:rPr>
          <w:rFonts w:ascii="PT Astra Serif" w:hAnsi="PT Astra Serif"/>
          <w:sz w:val="28"/>
          <w:szCs w:val="28"/>
        </w:rPr>
        <w:t xml:space="preserve"> </w:t>
      </w:r>
      <w:r w:rsidRPr="00243231">
        <w:rPr>
          <w:rFonts w:ascii="PT Astra Serif" w:hAnsi="PT Astra Serif"/>
          <w:sz w:val="28"/>
          <w:szCs w:val="28"/>
        </w:rPr>
        <w:t xml:space="preserve">после слов </w:t>
      </w:r>
      <w:r w:rsidRPr="00243231">
        <w:rPr>
          <w:rStyle w:val="ac"/>
          <w:rFonts w:ascii="PT Astra Serif" w:hAnsi="PT Astra Serif"/>
          <w:i w:val="0"/>
          <w:sz w:val="28"/>
          <w:szCs w:val="28"/>
        </w:rPr>
        <w:t>«предпрофессиональные программы» дополнить словами «в области искусств».</w:t>
      </w:r>
    </w:p>
    <w:p w:rsidR="00243231" w:rsidRPr="00243231" w:rsidRDefault="00243231" w:rsidP="00243231">
      <w:pPr>
        <w:tabs>
          <w:tab w:val="left" w:pos="1276"/>
        </w:tabs>
        <w:spacing w:line="276" w:lineRule="auto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ascii="PT Astra Serif" w:eastAsia="Lucida Sans Unicode" w:hAnsi="PT Astra Serif"/>
          <w:sz w:val="28"/>
          <w:szCs w:val="28"/>
          <w:lang w:bidi="en-US"/>
        </w:rPr>
        <w:t xml:space="preserve">1.3.2. </w:t>
      </w:r>
      <w:r w:rsidRPr="00243231">
        <w:rPr>
          <w:rFonts w:ascii="PT Astra Serif" w:eastAsia="Lucida Sans Unicode" w:hAnsi="PT Astra Serif"/>
          <w:sz w:val="28"/>
          <w:szCs w:val="28"/>
          <w:lang w:bidi="en-US"/>
        </w:rPr>
        <w:t>Пункт 4.3 изложить в следующей редакции:</w:t>
      </w:r>
    </w:p>
    <w:p w:rsidR="00243231" w:rsidRPr="00243231" w:rsidRDefault="00243231" w:rsidP="00243231">
      <w:pPr>
        <w:pStyle w:val="a5"/>
        <w:spacing w:line="276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43231">
        <w:rPr>
          <w:rFonts w:ascii="PT Astra Serif" w:hAnsi="PT Astra Serif"/>
          <w:color w:val="000000"/>
          <w:sz w:val="28"/>
          <w:szCs w:val="28"/>
        </w:rPr>
        <w:t xml:space="preserve">«4.3. Содержание дополнительных общеразвивающих программ и сроки </w:t>
      </w:r>
      <w:proofErr w:type="gramStart"/>
      <w:r w:rsidRPr="00243231">
        <w:rPr>
          <w:rFonts w:ascii="PT Astra Serif" w:hAnsi="PT Astra Serif"/>
          <w:color w:val="000000"/>
          <w:sz w:val="28"/>
          <w:szCs w:val="28"/>
        </w:rPr>
        <w:t>обучения по ним</w:t>
      </w:r>
      <w:proofErr w:type="gramEnd"/>
      <w:r w:rsidRPr="00243231">
        <w:rPr>
          <w:rFonts w:ascii="PT Astra Serif" w:hAnsi="PT Astra Serif"/>
          <w:color w:val="000000"/>
          <w:sz w:val="28"/>
          <w:szCs w:val="28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</w:t>
      </w:r>
      <w:r w:rsidRPr="00243231">
        <w:rPr>
          <w:rFonts w:ascii="PT Astra Serif" w:hAnsi="PT Astra Serif"/>
          <w:iCs/>
          <w:color w:val="000000"/>
          <w:sz w:val="28"/>
          <w:szCs w:val="28"/>
        </w:rPr>
        <w:t>в области искусств</w:t>
      </w:r>
      <w:r w:rsidRPr="00243231">
        <w:rPr>
          <w:rFonts w:ascii="PT Astra Serif" w:hAnsi="PT Astra Serif"/>
          <w:color w:val="000000"/>
          <w:sz w:val="28"/>
          <w:szCs w:val="28"/>
        </w:rPr>
        <w:t xml:space="preserve">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proofErr w:type="gramStart"/>
      <w:r w:rsidRPr="00243231"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:rsidR="00243231" w:rsidRPr="00243231" w:rsidRDefault="00243231" w:rsidP="00243231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243231">
        <w:rPr>
          <w:rFonts w:ascii="PT Astra Serif" w:hAnsi="PT Astra Serif"/>
          <w:color w:val="000000"/>
          <w:sz w:val="28"/>
          <w:szCs w:val="28"/>
        </w:rPr>
        <w:t>Опубликовать постановление в официальном печатном издании</w:t>
      </w:r>
      <w:r w:rsidRPr="00243231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Pr="00243231">
        <w:rPr>
          <w:rFonts w:ascii="PT Astra Serif" w:hAnsi="PT Astra Serif"/>
          <w:sz w:val="28"/>
          <w:szCs w:val="28"/>
        </w:rPr>
        <w:t>Югорска</w:t>
      </w:r>
      <w:proofErr w:type="spellEnd"/>
      <w:r w:rsidRPr="00243231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243231">
        <w:rPr>
          <w:rFonts w:ascii="PT Astra Serif" w:hAnsi="PT Astra Serif"/>
          <w:sz w:val="28"/>
          <w:szCs w:val="28"/>
        </w:rPr>
        <w:t>Югорска</w:t>
      </w:r>
      <w:proofErr w:type="spellEnd"/>
      <w:r w:rsidRPr="00243231">
        <w:rPr>
          <w:rFonts w:ascii="PT Astra Serif" w:hAnsi="PT Astra Serif"/>
          <w:sz w:val="28"/>
          <w:szCs w:val="28"/>
        </w:rPr>
        <w:t>.</w:t>
      </w:r>
    </w:p>
    <w:p w:rsidR="00243231" w:rsidRPr="00243231" w:rsidRDefault="00243231" w:rsidP="00243231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243231">
        <w:rPr>
          <w:rFonts w:ascii="PT Astra Serif" w:hAnsi="PT Astra Serif"/>
          <w:sz w:val="28"/>
          <w:szCs w:val="28"/>
        </w:rPr>
        <w:t>Настоящее постановление вступает в силу после официального опубликования, но не ранее 01.01.2023.</w:t>
      </w:r>
    </w:p>
    <w:p w:rsidR="00243231" w:rsidRPr="00243231" w:rsidRDefault="00243231" w:rsidP="00243231">
      <w:pPr>
        <w:tabs>
          <w:tab w:val="left" w:pos="540"/>
          <w:tab w:val="left" w:pos="870"/>
        </w:tabs>
        <w:spacing w:line="276" w:lineRule="auto"/>
        <w:ind w:hanging="14"/>
        <w:jc w:val="both"/>
        <w:rPr>
          <w:rFonts w:ascii="PT Astra Serif" w:hAnsi="PT Astra Serif"/>
          <w:sz w:val="28"/>
          <w:szCs w:val="28"/>
        </w:rPr>
      </w:pPr>
    </w:p>
    <w:p w:rsidR="00243231" w:rsidRDefault="00243231" w:rsidP="00243231">
      <w:pPr>
        <w:tabs>
          <w:tab w:val="left" w:pos="540"/>
          <w:tab w:val="left" w:pos="870"/>
        </w:tabs>
        <w:spacing w:line="276" w:lineRule="auto"/>
        <w:ind w:hanging="14"/>
        <w:jc w:val="both"/>
        <w:rPr>
          <w:rFonts w:ascii="PT Astra Serif" w:hAnsi="PT Astra Serif"/>
          <w:b/>
          <w:sz w:val="28"/>
          <w:szCs w:val="28"/>
        </w:rPr>
      </w:pPr>
    </w:p>
    <w:p w:rsidR="00243231" w:rsidRPr="00243231" w:rsidRDefault="00243231" w:rsidP="00243231">
      <w:pPr>
        <w:tabs>
          <w:tab w:val="left" w:pos="540"/>
          <w:tab w:val="left" w:pos="870"/>
        </w:tabs>
        <w:spacing w:line="276" w:lineRule="auto"/>
        <w:ind w:hanging="14"/>
        <w:jc w:val="both"/>
        <w:rPr>
          <w:rFonts w:ascii="PT Astra Serif" w:hAnsi="PT Astra Serif"/>
          <w:b/>
          <w:sz w:val="28"/>
          <w:szCs w:val="28"/>
        </w:rPr>
      </w:pPr>
    </w:p>
    <w:p w:rsidR="00243231" w:rsidRPr="00243231" w:rsidRDefault="00243231" w:rsidP="00243231">
      <w:pPr>
        <w:tabs>
          <w:tab w:val="left" w:pos="540"/>
          <w:tab w:val="left" w:pos="870"/>
        </w:tabs>
        <w:spacing w:line="276" w:lineRule="auto"/>
        <w:ind w:hanging="14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243231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243231"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243231" w:rsidRPr="00243231" w:rsidRDefault="00243231" w:rsidP="00243231">
      <w:pPr>
        <w:tabs>
          <w:tab w:val="left" w:pos="540"/>
          <w:tab w:val="left" w:pos="870"/>
        </w:tabs>
        <w:spacing w:line="276" w:lineRule="auto"/>
        <w:ind w:hanging="14"/>
        <w:jc w:val="both"/>
        <w:rPr>
          <w:rFonts w:ascii="PT Astra Serif" w:hAnsi="PT Astra Serif"/>
          <w:b/>
          <w:sz w:val="28"/>
          <w:szCs w:val="28"/>
        </w:rPr>
      </w:pPr>
      <w:r w:rsidRPr="00243231">
        <w:rPr>
          <w:rFonts w:ascii="PT Astra Serif" w:hAnsi="PT Astra Serif"/>
          <w:b/>
          <w:sz w:val="28"/>
          <w:szCs w:val="28"/>
        </w:rPr>
        <w:t xml:space="preserve">главы города </w:t>
      </w:r>
      <w:proofErr w:type="spellStart"/>
      <w:r w:rsidRPr="00243231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24323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С.Д. </w:t>
      </w:r>
      <w:proofErr w:type="spellStart"/>
      <w:r w:rsidRPr="00243231"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sectPr w:rsidR="00243231" w:rsidRPr="00243231" w:rsidSect="00757B1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DD" w:rsidRDefault="002C7BDD" w:rsidP="003C5141">
      <w:r>
        <w:separator/>
      </w:r>
    </w:p>
  </w:endnote>
  <w:endnote w:type="continuationSeparator" w:id="0">
    <w:p w:rsidR="002C7BDD" w:rsidRDefault="002C7BD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DD" w:rsidRDefault="002C7BDD" w:rsidP="003C5141">
      <w:r>
        <w:separator/>
      </w:r>
    </w:p>
  </w:footnote>
  <w:footnote w:type="continuationSeparator" w:id="0">
    <w:p w:rsidR="002C7BDD" w:rsidRDefault="002C7BD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841918"/>
      <w:docPartObj>
        <w:docPartGallery w:val="Page Numbers (Top of Page)"/>
        <w:docPartUnique/>
      </w:docPartObj>
    </w:sdtPr>
    <w:sdtEndPr/>
    <w:sdtContent>
      <w:p w:rsidR="00243231" w:rsidRDefault="00243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B16">
          <w:rPr>
            <w:noProof/>
          </w:rPr>
          <w:t>2</w:t>
        </w:r>
        <w:r>
          <w:fldChar w:fldCharType="end"/>
        </w:r>
      </w:p>
    </w:sdtContent>
  </w:sdt>
  <w:p w:rsidR="00243231" w:rsidRDefault="002432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AC2863"/>
    <w:multiLevelType w:val="multilevel"/>
    <w:tmpl w:val="139453C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/>
        <w:color w:val="000000"/>
      </w:rPr>
    </w:lvl>
  </w:abstractNum>
  <w:abstractNum w:abstractNumId="2">
    <w:nsid w:val="627F7E95"/>
    <w:multiLevelType w:val="multilevel"/>
    <w:tmpl w:val="937A4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34" w:hanging="60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36" w:hanging="1080"/>
      </w:pPr>
    </w:lvl>
    <w:lvl w:ilvl="5">
      <w:start w:val="1"/>
      <w:numFmt w:val="decimal"/>
      <w:isLgl/>
      <w:lvlText w:val="%1.%2.%3.%4.%5.%6"/>
      <w:lvlJc w:val="left"/>
      <w:pPr>
        <w:ind w:left="2670" w:hanging="1440"/>
      </w:pPr>
    </w:lvl>
    <w:lvl w:ilvl="6">
      <w:start w:val="1"/>
      <w:numFmt w:val="decimal"/>
      <w:isLgl/>
      <w:lvlText w:val="%1.%2.%3.%4.%5.%6.%7"/>
      <w:lvlJc w:val="left"/>
      <w:pPr>
        <w:ind w:left="2844" w:hanging="1440"/>
      </w:p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43231"/>
    <w:rsid w:val="00256A87"/>
    <w:rsid w:val="00271EA8"/>
    <w:rsid w:val="00285C61"/>
    <w:rsid w:val="00296E8C"/>
    <w:rsid w:val="002A42B6"/>
    <w:rsid w:val="002C7BDD"/>
    <w:rsid w:val="002F5129"/>
    <w:rsid w:val="00355CF1"/>
    <w:rsid w:val="003642AD"/>
    <w:rsid w:val="0037056B"/>
    <w:rsid w:val="003943E4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956AF"/>
    <w:rsid w:val="005B1D84"/>
    <w:rsid w:val="00621969"/>
    <w:rsid w:val="00624190"/>
    <w:rsid w:val="0065328E"/>
    <w:rsid w:val="006B3FA0"/>
    <w:rsid w:val="006F6444"/>
    <w:rsid w:val="00713C1C"/>
    <w:rsid w:val="007268A4"/>
    <w:rsid w:val="00750AD5"/>
    <w:rsid w:val="00757B16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43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c">
    <w:name w:val="Emphasis"/>
    <w:basedOn w:val="a0"/>
    <w:uiPriority w:val="20"/>
    <w:qFormat/>
    <w:rsid w:val="002432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43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c">
    <w:name w:val="Emphasis"/>
    <w:basedOn w:val="a0"/>
    <w:uiPriority w:val="20"/>
    <w:qFormat/>
    <w:rsid w:val="002432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18</cp:revision>
  <cp:lastPrinted>2022-04-11T09:49:00Z</cp:lastPrinted>
  <dcterms:created xsi:type="dcterms:W3CDTF">2019-08-02T09:29:00Z</dcterms:created>
  <dcterms:modified xsi:type="dcterms:W3CDTF">2022-04-11T09:49:00Z</dcterms:modified>
</cp:coreProperties>
</file>