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EE" w:rsidRDefault="00C10EF9" w:rsidP="00C10EF9">
      <w:pPr>
        <w:spacing w:after="0" w:line="25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Практика достижения наилучших значений показателей</w:t>
      </w:r>
      <w:r w:rsidR="00A102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450EE" w:rsidRDefault="008450EE" w:rsidP="00C10EF9">
      <w:pPr>
        <w:spacing w:after="0" w:line="256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эффективности деятельности органов местного самоуправления </w:t>
      </w:r>
    </w:p>
    <w:p w:rsidR="00C10EF9" w:rsidRPr="008450EE" w:rsidRDefault="008450EE" w:rsidP="00C10EF9">
      <w:pPr>
        <w:spacing w:after="0" w:line="25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города Югорска </w:t>
      </w:r>
      <w:r w:rsidR="00440942">
        <w:rPr>
          <w:rFonts w:ascii="Times New Roman" w:eastAsia="Times New Roman" w:hAnsi="Times New Roman" w:cs="Times New Roman"/>
          <w:b/>
          <w:bCs/>
          <w:sz w:val="24"/>
          <w:szCs w:val="24"/>
        </w:rPr>
        <w:t>за 2018</w:t>
      </w:r>
      <w:r w:rsidRPr="00845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</w:t>
      </w:r>
    </w:p>
    <w:p w:rsidR="00C10EF9" w:rsidRDefault="00C10EF9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Наилучшие результаты </w:t>
      </w:r>
      <w:r w:rsidR="009F0350">
        <w:rPr>
          <w:rFonts w:ascii="Times New Roman" w:eastAsia="Calibri" w:hAnsi="Times New Roman" w:cs="Times New Roman"/>
          <w:sz w:val="24"/>
          <w:szCs w:val="24"/>
        </w:rPr>
        <w:t xml:space="preserve">(1 – 3 места)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C10EF9">
        <w:rPr>
          <w:rFonts w:ascii="Times New Roman" w:eastAsia="Calibri" w:hAnsi="Times New Roman" w:cs="Times New Roman"/>
          <w:sz w:val="24"/>
          <w:szCs w:val="24"/>
        </w:rPr>
        <w:t>ород Югорск имеет по следующим показателям (по сводному индексу показателей эффективности):</w:t>
      </w:r>
    </w:p>
    <w:p w:rsidR="003F1378" w:rsidRDefault="003F1378" w:rsidP="00C10EF9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Раздел «Экономическое развитие» 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1 место: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3F1378">
        <w:rPr>
          <w:rFonts w:ascii="Times New Roman" w:eastAsia="Times New Roman" w:hAnsi="Times New Roman" w:cs="Times New Roman"/>
          <w:sz w:val="24"/>
          <w:szCs w:val="24"/>
          <w:u w:val="single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значения»: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Добиться положительного результата помогает ежегодная плановая работа по улучшению качества улично-дорожной сети.</w:t>
      </w:r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F1378">
        <w:rPr>
          <w:rFonts w:ascii="Times New Roman" w:eastAsia="Calibri" w:hAnsi="Times New Roman" w:cs="Times New Roman"/>
          <w:sz w:val="24"/>
          <w:szCs w:val="24"/>
          <w:lang w:bidi="en-US"/>
        </w:rPr>
        <w:t>Выполняются работы по сплошной и частичной замене дорожного покрытия, на дорогах, где ситуация не критичная производится ямочный ремонт.</w:t>
      </w:r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F137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По возможности проводятся работы по реконструкции дорог с заменой грунтового покрытия на </w:t>
      </w:r>
      <w:proofErr w:type="gramStart"/>
      <w:r w:rsidRPr="003F1378">
        <w:rPr>
          <w:rFonts w:ascii="Times New Roman" w:eastAsia="Calibri" w:hAnsi="Times New Roman" w:cs="Times New Roman"/>
          <w:sz w:val="24"/>
          <w:szCs w:val="24"/>
          <w:lang w:bidi="en-US"/>
        </w:rPr>
        <w:t>твердое</w:t>
      </w:r>
      <w:proofErr w:type="gramEnd"/>
      <w:r w:rsidRPr="003F1378">
        <w:rPr>
          <w:rFonts w:ascii="Times New Roman" w:eastAsia="Calibri" w:hAnsi="Times New Roman" w:cs="Times New Roman"/>
          <w:sz w:val="24"/>
          <w:szCs w:val="24"/>
          <w:lang w:bidi="en-US"/>
        </w:rPr>
        <w:t>, расширения дорожного полотна, устройством тротуаров и водоотводных лотков.</w:t>
      </w:r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F137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По грунтовым дорогам проводятся работы по отсыпке и </w:t>
      </w:r>
      <w:proofErr w:type="spellStart"/>
      <w:r w:rsidRPr="003F1378">
        <w:rPr>
          <w:rFonts w:ascii="Times New Roman" w:eastAsia="Calibri" w:hAnsi="Times New Roman" w:cs="Times New Roman"/>
          <w:sz w:val="24"/>
          <w:szCs w:val="24"/>
          <w:lang w:bidi="en-US"/>
        </w:rPr>
        <w:t>грейдированию</w:t>
      </w:r>
      <w:proofErr w:type="spellEnd"/>
      <w:r w:rsidRPr="003F1378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F1378">
        <w:rPr>
          <w:rFonts w:ascii="Times New Roman" w:eastAsia="Calibri" w:hAnsi="Times New Roman" w:cs="Times New Roman"/>
          <w:sz w:val="24"/>
          <w:szCs w:val="24"/>
          <w:lang w:bidi="en-US"/>
        </w:rPr>
        <w:t>Ежегодно для обследования состояния дорог создается комиссия, которая оценивает техническое состояние дорог (</w:t>
      </w:r>
      <w:proofErr w:type="spellStart"/>
      <w:r w:rsidRPr="003F1378">
        <w:rPr>
          <w:rFonts w:ascii="Times New Roman" w:eastAsia="Calibri" w:hAnsi="Times New Roman" w:cs="Times New Roman"/>
          <w:sz w:val="24"/>
          <w:szCs w:val="24"/>
          <w:lang w:bidi="en-US"/>
        </w:rPr>
        <w:t>колейность</w:t>
      </w:r>
      <w:proofErr w:type="spellEnd"/>
      <w:r w:rsidRPr="003F137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износ дорожного полотна, искусственных дорожных неровностей, бордюров), учитываются предписания ГИБДД. По результатам работы комиссия готовит предложение по перечню дорог, требующих ремонта в первоочередном порядке. </w:t>
      </w:r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F137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Внести свои предложения в план ремонта дорог могут и горожане. На сайте администрации Югорска ежегодно проходит голосование за дорогу, которая нуждается в </w:t>
      </w:r>
      <w:proofErr w:type="gramStart"/>
      <w:r w:rsidRPr="003F1378">
        <w:rPr>
          <w:rFonts w:ascii="Times New Roman" w:eastAsia="Calibri" w:hAnsi="Times New Roman" w:cs="Times New Roman"/>
          <w:sz w:val="24"/>
          <w:szCs w:val="24"/>
          <w:lang w:bidi="en-US"/>
        </w:rPr>
        <w:t>ремонте</w:t>
      </w:r>
      <w:proofErr w:type="gramEnd"/>
      <w:r w:rsidRPr="003F137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 мнению жителей города. На заседании Общественного совета по вопросам дорожной деятельности при администрации города обсуждается проект плана ремонта, реконструкции и строительства дорог, дается рекомендация к утверждению или внесению в него изменений.  Утверждает план глава города Югорска.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2 место:</w:t>
      </w:r>
    </w:p>
    <w:p w:rsidR="003F1378" w:rsidRPr="003F1378" w:rsidRDefault="003F1378" w:rsidP="003F13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3F13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Среднемесячная номинальная начисленная заработная плата работников муниципальных учреждений физической культуры и спорта»</w:t>
      </w:r>
      <w:r w:rsidRPr="003F13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>В 2018 году произошла реорганизация в форме присоединения муниципального бюджетного учреждения «Физкультурно-спортивный комплекс «Юность» к муниципальному бюджетному учреждению дополнительного образования специализированная детско-юношеская спортивная школа олимпийского резерва «Смена» и образовалось одно учреждение - муниципальное бюджетное учреждение спортивная школа олимпийского резерва «Центр Югорского спорта», осуществляющее деятельность по спортивной подготовке. Было разработано новое положение об оплате труда работников учреждений физической культуры и спорта, в котором отражены стимулирующие выплаты и повышающие коэффициенты, не допускающие снижения заработной платы работникам, которую получали до реорганизации в форме присоединения учреждений. В расчетах фонда оплаты труда учитывалось повышение заработной платы на 4%.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3 место: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«Среднемесячная номинальная начисленная заработная плата работников крупных и средних предприятий и некоммерческих организаций»:</w:t>
      </w:r>
    </w:p>
    <w:p w:rsidR="003F1378" w:rsidRPr="003F1378" w:rsidRDefault="003F1378" w:rsidP="003F137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3F1378">
        <w:rPr>
          <w:rFonts w:ascii="Times New Roman" w:eastAsia="MS Mincho" w:hAnsi="Times New Roman" w:cs="Times New Roman"/>
          <w:sz w:val="24"/>
          <w:szCs w:val="24"/>
          <w:lang w:eastAsia="ru-RU"/>
        </w:rPr>
        <w:t>Среднемесячная начисленная заработная плата по крупным и средним предприятиям увеличилась на 7,4% и сложилась на уровне 89 285,1 рубля.</w:t>
      </w:r>
    </w:p>
    <w:p w:rsidR="003F1378" w:rsidRPr="003F1378" w:rsidRDefault="003F1378" w:rsidP="003F137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Рост уровня заработной платы градообразующего предприятия ООО «Газпром </w:t>
      </w:r>
      <w:proofErr w:type="spellStart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трансгаз</w:t>
      </w:r>
      <w:proofErr w:type="spellEnd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Югорск» и реализация мер по повышению оплаты труда работников бюджетной сферы (в рамках реализации майских Указов Президента РФ 2012 года) способствовали росту уровня заработной платы по городу в целом.</w:t>
      </w:r>
    </w:p>
    <w:p w:rsidR="003F1378" w:rsidRPr="003F1378" w:rsidRDefault="003F1378" w:rsidP="003F1378">
      <w:pPr>
        <w:numPr>
          <w:ilvl w:val="0"/>
          <w:numId w:val="1"/>
        </w:num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Мероприятия, проводимые администрацией города Югорска, направленные на повышение уровня заработной платы низкооплачиваемых категорий работников бюджетной сферы и иных форм собственности, позволили исключить случаи выплаты заработной платы ниже величины минимального размера оплаты труда и прожиточного минимума, установленных на территории Ханты-Мансийского автономного округа - Югры.  </w:t>
      </w:r>
      <w:proofErr w:type="gramEnd"/>
    </w:p>
    <w:p w:rsidR="003F1378" w:rsidRPr="003F1378" w:rsidRDefault="003F1378" w:rsidP="003F137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Раздел «Дошкольное образование»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1 место: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3F1378">
        <w:rPr>
          <w:rFonts w:ascii="Times New Roman" w:eastAsia="Times New Roman" w:hAnsi="Times New Roman" w:cs="Times New Roman"/>
          <w:sz w:val="24"/>
          <w:szCs w:val="24"/>
          <w:u w:val="single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учреждений»:</w:t>
      </w:r>
    </w:p>
    <w:p w:rsidR="003F1378" w:rsidRPr="003F1378" w:rsidRDefault="003F1378" w:rsidP="003F13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муниципальной системе образования осуществляется систематическая работа по обеспечению современных безопасных и комфортных условий для организации образовательного процесса в целях обеспечения права каждого ребенка на доступное и качественное образование. </w:t>
      </w:r>
    </w:p>
    <w:p w:rsidR="003F1378" w:rsidRPr="003F1378" w:rsidRDefault="003F1378" w:rsidP="003F13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F13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Своевременно проведены текущие ремонты образовательных учреждений с целью обеспечения выполнения требований к санитарно-бытовым условиям и охране здоровья обучающихся.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Раздел «Общее и дополнительное образование»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1 место: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3F1378">
        <w:rPr>
          <w:rFonts w:ascii="Times New Roman" w:eastAsia="Times New Roman" w:hAnsi="Times New Roman" w:cs="Times New Roman"/>
          <w:sz w:val="24"/>
          <w:szCs w:val="24"/>
          <w:u w:val="single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учреждений»:</w:t>
      </w:r>
    </w:p>
    <w:p w:rsidR="003F1378" w:rsidRPr="003F1378" w:rsidRDefault="003F1378" w:rsidP="003F13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муниципальной системе образования осуществляется систематическая работа по обеспечению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 </w:t>
      </w:r>
    </w:p>
    <w:p w:rsidR="003F1378" w:rsidRPr="003F1378" w:rsidRDefault="003F1378" w:rsidP="003F13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поддержания эксплуатационных показателей и обеспечения санитарно-эпидемиологического состояния своевременно проведены текущие ремонты общеобразовательных учреждений. Проводится плановая работа по устранению имеющихся предписаний надзорных органов. В целях поэтапного выполнения предписаний разработан план мероприятий по устранению предписаний надзорных органов в муниципальных образовательных учреждениях на 2018-2020 годы.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2 место: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3F1378">
        <w:rPr>
          <w:rFonts w:ascii="Times New Roman" w:eastAsia="Times New Roman" w:hAnsi="Times New Roman" w:cs="Times New Roman"/>
          <w:sz w:val="24"/>
          <w:szCs w:val="24"/>
          <w:u w:val="single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учреждений»: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13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всех общеобразовательных учреждениях созданы условия в соответствии с современными требованиями к обучению. В учреждениях имеются физкультурные залы, столовые, библиотеки, в открытом доступе размещена информация на официальных сайтах сети «Интернет». Общеобразовательные программы реализуются с применением дистанционных образовательных технологий, создаются условия для повышения доступности объектов и услуг для инвалидов. В общеобразовательных учреждениях осуществлены все виды благоустройства. Здания учреждений обеспечены пожарной сигнализацией и </w:t>
      </w:r>
      <w:proofErr w:type="gramStart"/>
      <w:r w:rsidRPr="003F1378">
        <w:rPr>
          <w:rFonts w:ascii="Times New Roman" w:eastAsia="Calibri" w:hAnsi="Times New Roman" w:cs="Times New Roman"/>
          <w:sz w:val="24"/>
          <w:szCs w:val="24"/>
          <w:lang w:eastAsia="ru-RU"/>
        </w:rPr>
        <w:t>дымовыми</w:t>
      </w:r>
      <w:proofErr w:type="gramEnd"/>
      <w:r w:rsidRPr="003F13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378">
        <w:rPr>
          <w:rFonts w:ascii="Times New Roman" w:eastAsia="Calibri" w:hAnsi="Times New Roman" w:cs="Times New Roman"/>
          <w:sz w:val="24"/>
          <w:szCs w:val="24"/>
          <w:lang w:eastAsia="ru-RU"/>
        </w:rPr>
        <w:t>извещателями</w:t>
      </w:r>
      <w:proofErr w:type="spellEnd"/>
      <w:r w:rsidRPr="003F13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Раздел «Физическая культура и спорт»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1 место:</w:t>
      </w:r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- «Доля </w:t>
      </w:r>
      <w:proofErr w:type="gramStart"/>
      <w:r w:rsidRPr="003F137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F1378">
        <w:rPr>
          <w:rFonts w:ascii="Times New Roman" w:eastAsia="Calibri" w:hAnsi="Times New Roman" w:cs="Times New Roman"/>
          <w:sz w:val="24"/>
          <w:szCs w:val="24"/>
        </w:rPr>
        <w:t>, систематически занимающихся физической культурой и спортом, в общей численности обучающихся»:</w:t>
      </w:r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>Уделяется большое внимание привлечению учащихся к занятиям физической культурой и спортом, в том числе: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>- в общеобразовательных учреждениях города, начиная с 2017 года, введены обязательные уроки по шахматам, которые посещают учащиеся с 1 по 11 классы;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>- на базе МБОУ «Гимназия» действуют 3 спортивных класса;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- на пятидневную учебную неделю перешли 2 </w:t>
      </w:r>
      <w:proofErr w:type="gramStart"/>
      <w:r w:rsidRPr="003F1378">
        <w:rPr>
          <w:rFonts w:ascii="Times New Roman" w:eastAsia="Calibri" w:hAnsi="Times New Roman" w:cs="Times New Roman"/>
          <w:sz w:val="24"/>
          <w:szCs w:val="24"/>
        </w:rPr>
        <w:t>общеобразовательных</w:t>
      </w:r>
      <w:proofErr w:type="gramEnd"/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 учреждения с обязательными общешкольными спортивными занятиями в субботу;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>- увеличилось количество проводимых общегородских мероприятий среди школьников, в том числе с принятием нормативов ГТО.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2 место:</w:t>
      </w:r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>- «Доля населе</w:t>
      </w:r>
      <w:r w:rsidR="009147EB">
        <w:rPr>
          <w:rFonts w:ascii="Times New Roman" w:eastAsia="Calibri" w:hAnsi="Times New Roman" w:cs="Times New Roman"/>
          <w:sz w:val="24"/>
          <w:szCs w:val="24"/>
        </w:rPr>
        <w:t>ния, систематически занимающегося</w:t>
      </w: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культурой и спортом»:</w:t>
      </w:r>
      <w:bookmarkStart w:id="0" w:name="_GoBack"/>
      <w:bookmarkEnd w:id="0"/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>Увеличение количества занимающихся физической культурой и спортом в 2018 году произошло благодаря созданию хороших условий для развития физической культуры, школьного и массового спорта, организации и проведения большого количества спортивно-массовых мероприятий на территории города Югорска среди детей и взрослых, увеличению числа спортивных сооружений расположенных в жилых микрорайонах.</w:t>
      </w:r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Огромную роль в привлечении к занятиям физической культурой и спортом играет градообразующее предприятие ООО «Газпром </w:t>
      </w:r>
      <w:proofErr w:type="spellStart"/>
      <w:r w:rsidRPr="003F1378">
        <w:rPr>
          <w:rFonts w:ascii="Times New Roman" w:eastAsia="Calibri" w:hAnsi="Times New Roman" w:cs="Times New Roman"/>
          <w:sz w:val="24"/>
          <w:szCs w:val="24"/>
        </w:rPr>
        <w:t>трансгаз</w:t>
      </w:r>
      <w:proofErr w:type="spellEnd"/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 Югорск», которое содержит объекты спорта, отвечающие требованиям безопасности, тренеров, инструкторов-методистов, обслуживающий персонал.</w:t>
      </w:r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В городе </w:t>
      </w:r>
      <w:proofErr w:type="spellStart"/>
      <w:r w:rsidRPr="003F1378">
        <w:rPr>
          <w:rFonts w:ascii="Times New Roman" w:eastAsia="Calibri" w:hAnsi="Times New Roman" w:cs="Times New Roman"/>
          <w:sz w:val="24"/>
          <w:szCs w:val="24"/>
        </w:rPr>
        <w:t>Югорске</w:t>
      </w:r>
      <w:proofErr w:type="spellEnd"/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 осуществляет свою деятельность 9 общественных социально ориентированных некоммерческих организаций, оказывающих услуги в сфере физической культуры и спорта.</w:t>
      </w:r>
    </w:p>
    <w:p w:rsidR="003F1378" w:rsidRPr="003F1378" w:rsidRDefault="003F1378" w:rsidP="003F1378">
      <w:pPr>
        <w:spacing w:line="240" w:lineRule="auto"/>
        <w:ind w:firstLine="426"/>
        <w:rPr>
          <w:rFonts w:ascii="Calibri" w:eastAsia="MS Mincho" w:hAnsi="Calibri" w:cs="Times New Roman"/>
          <w:sz w:val="24"/>
          <w:szCs w:val="24"/>
          <w:lang w:eastAsia="ru-RU"/>
        </w:rPr>
      </w:pP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Раздел «Жилищное строительство и обеспечение граждан жильем» 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1 место:</w:t>
      </w:r>
    </w:p>
    <w:p w:rsidR="003F1378" w:rsidRPr="003F1378" w:rsidRDefault="003F1378" w:rsidP="003F13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3F13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3F1378">
        <w:rPr>
          <w:rFonts w:ascii="Times New Roman" w:eastAsia="Times New Roman" w:hAnsi="Times New Roman" w:cs="Times New Roman"/>
          <w:sz w:val="24"/>
          <w:szCs w:val="24"/>
          <w:u w:val="single"/>
        </w:rPr>
        <w:t>с даты принятия</w:t>
      </w:r>
      <w:proofErr w:type="gramEnd"/>
      <w:r w:rsidRPr="003F13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эксплуатацию»:</w:t>
      </w:r>
    </w:p>
    <w:p w:rsidR="003F1378" w:rsidRPr="003F1378" w:rsidRDefault="003F1378" w:rsidP="003F13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378">
        <w:rPr>
          <w:rFonts w:ascii="Times New Roman" w:eastAsia="Times New Roman" w:hAnsi="Times New Roman" w:cs="Times New Roman"/>
          <w:sz w:val="24"/>
          <w:szCs w:val="24"/>
        </w:rPr>
        <w:t>В целях достижения показателя выполнены следующие мероприятия:</w:t>
      </w:r>
    </w:p>
    <w:p w:rsidR="003F1378" w:rsidRPr="003F1378" w:rsidRDefault="003F1378" w:rsidP="003F1378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территориального планирования и градостроительного зонирования территории города Югорска в соответствии с законодательством своевременно корректируются, проводятся публичные слушания, по результатам которых проекты утверждаются.</w:t>
      </w:r>
    </w:p>
    <w:p w:rsidR="003F1378" w:rsidRPr="003F1378" w:rsidRDefault="003F1378" w:rsidP="003F137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2018 году были утверждены проекты внесения изменений в проекты планировок территорий города Югорска (1 </w:t>
      </w:r>
      <w:proofErr w:type="spellStart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proofErr w:type="spellEnd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-он, 3 </w:t>
      </w:r>
      <w:proofErr w:type="spellStart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proofErr w:type="spellEnd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-он, 6 </w:t>
      </w:r>
      <w:proofErr w:type="spellStart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proofErr w:type="spellEnd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-он, 7 </w:t>
      </w:r>
      <w:proofErr w:type="spellStart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proofErr w:type="spellEnd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-он и часть 5 </w:t>
      </w:r>
      <w:proofErr w:type="spellStart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proofErr w:type="spellEnd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-он, 13 </w:t>
      </w:r>
      <w:proofErr w:type="spellStart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proofErr w:type="spellEnd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-он, 17 </w:t>
      </w:r>
      <w:proofErr w:type="spellStart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proofErr w:type="spellEnd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-он), которые позволили более эффективно использовать и распоряжаться свободными от прав и освобождающимися земельными участками. Инвестиционная привлекательность таких территорий для привлечения застройщиков повысилась.</w:t>
      </w:r>
    </w:p>
    <w:p w:rsidR="003F1378" w:rsidRPr="003F1378" w:rsidRDefault="003F1378" w:rsidP="003F1378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Актуализированы Правила землепользования и </w:t>
      </w:r>
      <w:proofErr w:type="gramStart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застройки города</w:t>
      </w:r>
      <w:proofErr w:type="gramEnd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Югорска.</w:t>
      </w:r>
    </w:p>
    <w:p w:rsidR="003F1378" w:rsidRPr="003F1378" w:rsidRDefault="003F1378" w:rsidP="003F1378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Своевременное исполнение плана по формированию земельных участков, предназначенных для строительства многоквартирных жилых домов, проведение аукционов.</w:t>
      </w:r>
    </w:p>
    <w:p w:rsidR="003F1378" w:rsidRPr="003F1378" w:rsidRDefault="003F1378" w:rsidP="003F1378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 рамках муниципальной программы города Югорска «Развитие жилищной сферы» проводятся мероприятия по стимулированию жилищного строительства в городе </w:t>
      </w:r>
      <w:proofErr w:type="spellStart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Югорске</w:t>
      </w:r>
      <w:proofErr w:type="spellEnd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частности, на условиях </w:t>
      </w:r>
      <w:proofErr w:type="spellStart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софинансирования</w:t>
      </w:r>
      <w:proofErr w:type="spellEnd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бюджетом автономного округа заключаются </w:t>
      </w:r>
      <w:proofErr w:type="spellStart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муницпальные</w:t>
      </w:r>
      <w:proofErr w:type="spellEnd"/>
      <w:r w:rsidRPr="003F1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контракты на участие в долевом строительстве жилых помещений в многоквартирных жилых домах. Контрактами предусматривается стимулирование завершения строительства многоквартирных жилых домов (поэтапное исполнение денежных обязательств в зависимости от степени строительной готовности строящегося объекта). Так, в 2018 году застройщикам были перечислены средства в размере  512 578,1 тыс. рублей, что позволило им своевременно завершить строительство начатых объектов.</w:t>
      </w:r>
    </w:p>
    <w:p w:rsidR="003F1378" w:rsidRPr="003F1378" w:rsidRDefault="003F1378" w:rsidP="003F13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Раздел «Жилищно-коммунальное хозяйство»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2 место:</w:t>
      </w:r>
    </w:p>
    <w:p w:rsidR="003F1378" w:rsidRPr="003F1378" w:rsidRDefault="003F1378" w:rsidP="003F1378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домами»:</w:t>
      </w:r>
    </w:p>
    <w:p w:rsidR="003F1378" w:rsidRPr="003F1378" w:rsidRDefault="003F1378" w:rsidP="003F13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услуги населению оказывали 6 управляющих организаций. Возросла </w:t>
      </w:r>
      <w:proofErr w:type="spellStart"/>
      <w:r w:rsidRPr="003F1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конкурентность</w:t>
      </w:r>
      <w:proofErr w:type="spellEnd"/>
      <w:r w:rsidRPr="003F13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повысилась грамотность в вопросах сферы ЖКХ и активность жителей по самостоятельному выбору способа управления.</w:t>
      </w:r>
    </w:p>
    <w:p w:rsidR="003F1378" w:rsidRPr="003F1378" w:rsidRDefault="003F1378" w:rsidP="003F13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жители выбирают способ управления управляющими организациями.</w:t>
      </w:r>
      <w:r w:rsidRPr="003F1378">
        <w:rPr>
          <w:rFonts w:ascii="Calibri" w:eastAsia="MS Mincho" w:hAnsi="Calibri" w:cs="Times New Roman"/>
          <w:sz w:val="24"/>
          <w:szCs w:val="24"/>
          <w:lang w:eastAsia="ru-RU"/>
        </w:rPr>
        <w:t xml:space="preserve"> </w:t>
      </w:r>
      <w:r w:rsidRPr="003F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ликвидировано 11 ТСЖ. </w:t>
      </w:r>
    </w:p>
    <w:p w:rsidR="003F1378" w:rsidRPr="003F1378" w:rsidRDefault="003F1378" w:rsidP="003F13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 организации оказывают помощь в проведении общих собраний собственников.</w:t>
      </w:r>
    </w:p>
    <w:p w:rsidR="003F1378" w:rsidRPr="003F1378" w:rsidRDefault="003F1378" w:rsidP="003F13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3 место: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- «Доля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о-</w:t>
      </w:r>
      <w:proofErr w:type="gramEnd"/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</w:t>
      </w:r>
      <w:proofErr w:type="gramStart"/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осуществляющих</w:t>
      </w:r>
      <w:proofErr w:type="gramEnd"/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свою деятельность на территории городского округа (муниципального района»):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город Югорск в сфере жилищно-коммунального хозяйства в 2018 году осуществляли деятельность 5 организаций, из них:</w:t>
      </w:r>
    </w:p>
    <w:p w:rsidR="003F1378" w:rsidRPr="003F1378" w:rsidRDefault="003F1378" w:rsidP="003F1378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АО «Газпром </w:t>
      </w:r>
      <w:proofErr w:type="spellStart"/>
      <w:r w:rsidRPr="003F1378">
        <w:rPr>
          <w:rFonts w:ascii="Times New Roman" w:eastAsia="Calibri" w:hAnsi="Times New Roman" w:cs="Times New Roman"/>
          <w:sz w:val="24"/>
          <w:szCs w:val="24"/>
        </w:rPr>
        <w:t>энергосбыт</w:t>
      </w:r>
      <w:proofErr w:type="spellEnd"/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 Тюмень» (передача электроэнергии), ООО «Газпром </w:t>
      </w:r>
      <w:proofErr w:type="spellStart"/>
      <w:r w:rsidRPr="003F1378">
        <w:rPr>
          <w:rFonts w:ascii="Times New Roman" w:eastAsia="Calibri" w:hAnsi="Times New Roman" w:cs="Times New Roman"/>
          <w:sz w:val="24"/>
          <w:szCs w:val="24"/>
        </w:rPr>
        <w:t>межрегионгаз</w:t>
      </w:r>
      <w:proofErr w:type="spellEnd"/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 Север» (услуги газоснабжения), АО «Сжиженный газ Север» (реализация населению сжиженного газа), АО «Газпром газораспределение Север»  (услуги по содержанию внутридомового газового оборудования) - имеют долю в уставном капитале субъекта Российской Федерации, городского округа не более 25%;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1378" w:rsidRPr="003F1378" w:rsidRDefault="003F1378" w:rsidP="003F1378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>многопрофильное предприятие МУП «</w:t>
      </w:r>
      <w:proofErr w:type="spellStart"/>
      <w:r w:rsidRPr="003F1378">
        <w:rPr>
          <w:rFonts w:ascii="Times New Roman" w:eastAsia="Calibri" w:hAnsi="Times New Roman" w:cs="Times New Roman"/>
          <w:sz w:val="24"/>
          <w:szCs w:val="24"/>
        </w:rPr>
        <w:t>Югорскэнергогаз</w:t>
      </w:r>
      <w:proofErr w:type="spellEnd"/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», являющееся поставщиком услуг </w:t>
      </w:r>
      <w:proofErr w:type="gramStart"/>
      <w:r w:rsidRPr="003F1378">
        <w:rPr>
          <w:rFonts w:ascii="Times New Roman" w:eastAsia="Calibri" w:hAnsi="Times New Roman" w:cs="Times New Roman"/>
          <w:sz w:val="24"/>
          <w:szCs w:val="24"/>
        </w:rPr>
        <w:t>водо-теплоснабжения</w:t>
      </w:r>
      <w:proofErr w:type="gramEnd"/>
      <w:r w:rsidRPr="003F1378">
        <w:rPr>
          <w:rFonts w:ascii="Times New Roman" w:eastAsia="Calibri" w:hAnsi="Times New Roman" w:cs="Times New Roman"/>
          <w:sz w:val="24"/>
          <w:szCs w:val="24"/>
        </w:rPr>
        <w:t>, водоотведения, очистке сточных вод, утилизации ТБО, имеет долю участия в уставном капитале органов местного самоуправления 100%.</w:t>
      </w:r>
    </w:p>
    <w:p w:rsidR="003F1378" w:rsidRPr="003F1378" w:rsidRDefault="003F1378" w:rsidP="003F13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«Доля многоквартирных домов, расположенных на земельных участках, в отношении которых осуществлен государственный кадастровый учет»:</w:t>
      </w:r>
    </w:p>
    <w:p w:rsidR="003F1378" w:rsidRPr="003F1378" w:rsidRDefault="003F1378" w:rsidP="003F13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3F137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lastRenderedPageBreak/>
        <w:t>По сравнению с 2017 годом значение показателя остается стабильным – 100%. Государственный кадастровый учет земельных участков под многоквартирными жилыми домами осуществлен в полном объеме.</w:t>
      </w:r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3F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13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«Доля населения, получившего жилые помещения и улучившего жилищные условия в отчетном году, в общей численности населения, состоящего на учете в качестве нуждающегося в жилых помещениях»:</w:t>
      </w:r>
      <w:proofErr w:type="gramEnd"/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Положительных результатов удалось добиться </w:t>
      </w:r>
      <w:proofErr w:type="gramStart"/>
      <w:r w:rsidRPr="003F1378">
        <w:rPr>
          <w:rFonts w:ascii="Times New Roman" w:eastAsia="Calibri" w:hAnsi="Times New Roman" w:cs="Times New Roman"/>
          <w:sz w:val="24"/>
          <w:szCs w:val="24"/>
        </w:rPr>
        <w:t>за счет полного освоения выделенного финансирования в рамках соглашения о предоставлении субсидий на реализацию полномочий в области</w:t>
      </w:r>
      <w:proofErr w:type="gramEnd"/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 жилищных отношений в 2018 году бюджету города Югорска из бюджета Ханты-Мансийского автономного округа - Югры. </w:t>
      </w:r>
    </w:p>
    <w:p w:rsidR="003F1378" w:rsidRPr="003F1378" w:rsidRDefault="003F1378" w:rsidP="003F13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Следует отметить успешную организацию взаимодействия с </w:t>
      </w:r>
      <w:proofErr w:type="spellStart"/>
      <w:r w:rsidRPr="003F1378">
        <w:rPr>
          <w:rFonts w:ascii="Times New Roman" w:eastAsia="Calibri" w:hAnsi="Times New Roman" w:cs="Times New Roman"/>
          <w:sz w:val="24"/>
          <w:szCs w:val="24"/>
        </w:rPr>
        <w:t>Росреестром</w:t>
      </w:r>
      <w:proofErr w:type="spellEnd"/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 через электронную систему исполнения регламентов (</w:t>
      </w:r>
      <w:proofErr w:type="gramStart"/>
      <w:r w:rsidRPr="003F1378">
        <w:rPr>
          <w:rFonts w:ascii="Times New Roman" w:eastAsia="Calibri" w:hAnsi="Times New Roman" w:cs="Times New Roman"/>
          <w:sz w:val="24"/>
          <w:szCs w:val="24"/>
        </w:rPr>
        <w:t>СИР</w:t>
      </w:r>
      <w:proofErr w:type="gramEnd"/>
      <w:r w:rsidRPr="003F1378">
        <w:rPr>
          <w:rFonts w:ascii="Times New Roman" w:eastAsia="Calibri" w:hAnsi="Times New Roman" w:cs="Times New Roman"/>
          <w:sz w:val="24"/>
          <w:szCs w:val="24"/>
        </w:rPr>
        <w:t>), которая позволяет получать данные, включая субъекты Российской Федерации, о гражданах, состоящих на учете в качестве нуждающихся в улучшении жилищных условий, улучшивших их самостоятельно, что  влияет на увеличение показателя.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F1378" w:rsidRPr="003F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BC3E7C"/>
    <w:multiLevelType w:val="hybridMultilevel"/>
    <w:tmpl w:val="EF68110C"/>
    <w:lvl w:ilvl="0" w:tplc="2646CF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FB4194"/>
    <w:multiLevelType w:val="hybridMultilevel"/>
    <w:tmpl w:val="1A242BA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F9"/>
    <w:rsid w:val="000354F7"/>
    <w:rsid w:val="000E34D6"/>
    <w:rsid w:val="000E4EFB"/>
    <w:rsid w:val="00143449"/>
    <w:rsid w:val="00161839"/>
    <w:rsid w:val="001D17ED"/>
    <w:rsid w:val="001F518D"/>
    <w:rsid w:val="00217682"/>
    <w:rsid w:val="002415F9"/>
    <w:rsid w:val="002674B5"/>
    <w:rsid w:val="00296E09"/>
    <w:rsid w:val="002F288B"/>
    <w:rsid w:val="00326FAE"/>
    <w:rsid w:val="003B5180"/>
    <w:rsid w:val="003F1378"/>
    <w:rsid w:val="00410680"/>
    <w:rsid w:val="00412B59"/>
    <w:rsid w:val="00434B03"/>
    <w:rsid w:val="00440942"/>
    <w:rsid w:val="00441BF0"/>
    <w:rsid w:val="004D1086"/>
    <w:rsid w:val="00541269"/>
    <w:rsid w:val="00592465"/>
    <w:rsid w:val="00644CA8"/>
    <w:rsid w:val="00693857"/>
    <w:rsid w:val="006B20A2"/>
    <w:rsid w:val="006B2F83"/>
    <w:rsid w:val="007001CB"/>
    <w:rsid w:val="00715EAD"/>
    <w:rsid w:val="007630CA"/>
    <w:rsid w:val="00781FBF"/>
    <w:rsid w:val="008450EE"/>
    <w:rsid w:val="008971D3"/>
    <w:rsid w:val="008B4083"/>
    <w:rsid w:val="008C2CD2"/>
    <w:rsid w:val="008D596B"/>
    <w:rsid w:val="009147EB"/>
    <w:rsid w:val="009D14C4"/>
    <w:rsid w:val="009F0350"/>
    <w:rsid w:val="00A03531"/>
    <w:rsid w:val="00A102CE"/>
    <w:rsid w:val="00B17BF9"/>
    <w:rsid w:val="00B662A3"/>
    <w:rsid w:val="00B72F92"/>
    <w:rsid w:val="00C10EF9"/>
    <w:rsid w:val="00C1166F"/>
    <w:rsid w:val="00C44DAD"/>
    <w:rsid w:val="00CD4E52"/>
    <w:rsid w:val="00CF0DED"/>
    <w:rsid w:val="00D513BF"/>
    <w:rsid w:val="00D5760A"/>
    <w:rsid w:val="00D823A1"/>
    <w:rsid w:val="00DA5424"/>
    <w:rsid w:val="00E25110"/>
    <w:rsid w:val="00E2771E"/>
    <w:rsid w:val="00E34A75"/>
    <w:rsid w:val="00EE487F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10EF9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10EF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0E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C10EF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FE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10EF9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10EF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0E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C10EF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FE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Пивоварчик Лидия Геннадьевна</cp:lastModifiedBy>
  <cp:revision>56</cp:revision>
  <cp:lastPrinted>2018-10-02T09:03:00Z</cp:lastPrinted>
  <dcterms:created xsi:type="dcterms:W3CDTF">2016-09-14T11:52:00Z</dcterms:created>
  <dcterms:modified xsi:type="dcterms:W3CDTF">2019-09-16T06:03:00Z</dcterms:modified>
</cp:coreProperties>
</file>