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2" w:rsidRPr="007A2CE4" w:rsidRDefault="00B952A2" w:rsidP="00AC1C50">
      <w:pPr>
        <w:spacing w:after="0"/>
        <w:ind w:right="-284"/>
        <w:jc w:val="center"/>
      </w:pPr>
      <w:r w:rsidRPr="007A2CE4">
        <w:rPr>
          <w:noProof/>
          <w:lang w:eastAsia="ru-RU"/>
        </w:rPr>
        <w:drawing>
          <wp:inline distT="0" distB="0" distL="0" distR="0" wp14:anchorId="257B596F" wp14:editId="0822D0DE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A2" w:rsidRPr="006C3905" w:rsidRDefault="00B952A2" w:rsidP="006C3905">
      <w:pPr>
        <w:spacing w:after="0" w:line="240" w:lineRule="auto"/>
        <w:ind w:left="3600" w:right="-284" w:firstLine="720"/>
        <w:rPr>
          <w:sz w:val="24"/>
        </w:rPr>
      </w:pPr>
    </w:p>
    <w:p w:rsidR="00B952A2" w:rsidRPr="007A2CE4" w:rsidRDefault="00B952A2" w:rsidP="00B952A2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7A2CE4">
        <w:rPr>
          <w:rFonts w:ascii="PT Astra Serif" w:hAnsi="PT Astra Serif"/>
          <w:spacing w:val="20"/>
        </w:rPr>
        <w:t>АДМИНИСТРАЦИЯ ГОРОДА ЮГОРСКА</w:t>
      </w:r>
    </w:p>
    <w:p w:rsidR="00B952A2" w:rsidRPr="007A2CE4" w:rsidRDefault="00B952A2" w:rsidP="00B952A2">
      <w:pPr>
        <w:spacing w:after="0"/>
        <w:jc w:val="center"/>
        <w:rPr>
          <w:sz w:val="28"/>
          <w:szCs w:val="28"/>
        </w:rPr>
      </w:pPr>
      <w:r w:rsidRPr="007A2CE4">
        <w:rPr>
          <w:sz w:val="28"/>
          <w:szCs w:val="28"/>
        </w:rPr>
        <w:t>Ханты-Мансийского автономного округа</w:t>
      </w:r>
      <w:r w:rsidR="00985EF0" w:rsidRPr="007A2CE4">
        <w:rPr>
          <w:sz w:val="28"/>
          <w:szCs w:val="28"/>
        </w:rPr>
        <w:t xml:space="preserve"> </w:t>
      </w:r>
      <w:r w:rsidRPr="007A2CE4">
        <w:rPr>
          <w:sz w:val="28"/>
          <w:szCs w:val="28"/>
        </w:rPr>
        <w:t>-</w:t>
      </w:r>
      <w:r w:rsidR="00985EF0" w:rsidRPr="007A2CE4">
        <w:rPr>
          <w:sz w:val="28"/>
          <w:szCs w:val="28"/>
        </w:rPr>
        <w:t xml:space="preserve"> </w:t>
      </w:r>
      <w:r w:rsidRPr="007A2CE4">
        <w:rPr>
          <w:sz w:val="28"/>
          <w:szCs w:val="28"/>
        </w:rPr>
        <w:t>Югры</w:t>
      </w:r>
    </w:p>
    <w:p w:rsidR="00B952A2" w:rsidRPr="007A2CE4" w:rsidRDefault="00B952A2" w:rsidP="00B952A2">
      <w:pPr>
        <w:spacing w:after="0"/>
        <w:jc w:val="center"/>
        <w:rPr>
          <w:sz w:val="28"/>
          <w:szCs w:val="28"/>
        </w:rPr>
      </w:pPr>
    </w:p>
    <w:p w:rsidR="00B952A2" w:rsidRPr="007A2CE4" w:rsidRDefault="00B952A2" w:rsidP="00B952A2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7A2CE4">
        <w:rPr>
          <w:rFonts w:ascii="PT Astra Serif" w:hAnsi="PT Astra Serif"/>
          <w:spacing w:val="20"/>
          <w:sz w:val="36"/>
          <w:szCs w:val="36"/>
        </w:rPr>
        <w:t>РАСПОРЯЖЕНИЕ</w:t>
      </w:r>
    </w:p>
    <w:p w:rsidR="00B952A2" w:rsidRPr="007A2CE4" w:rsidRDefault="00B952A2" w:rsidP="0072153E">
      <w:pPr>
        <w:spacing w:after="0" w:line="240" w:lineRule="auto"/>
        <w:rPr>
          <w:sz w:val="28"/>
        </w:rPr>
      </w:pPr>
    </w:p>
    <w:p w:rsidR="00B952A2" w:rsidRPr="007A2CE4" w:rsidRDefault="00B952A2" w:rsidP="0072153E">
      <w:pPr>
        <w:spacing w:after="0" w:line="240" w:lineRule="auto"/>
        <w:rPr>
          <w:sz w:val="28"/>
        </w:rPr>
      </w:pPr>
    </w:p>
    <w:p w:rsidR="00B952A2" w:rsidRPr="007A2CE4" w:rsidRDefault="00B952A2" w:rsidP="00B952A2">
      <w:pPr>
        <w:spacing w:after="0"/>
        <w:rPr>
          <w:b/>
          <w:sz w:val="28"/>
          <w:szCs w:val="26"/>
        </w:rPr>
      </w:pPr>
      <w:r w:rsidRPr="007A2CE4">
        <w:rPr>
          <w:sz w:val="28"/>
          <w:szCs w:val="26"/>
        </w:rPr>
        <w:t>от </w:t>
      </w:r>
      <w:r w:rsidR="00004FAB">
        <w:rPr>
          <w:sz w:val="28"/>
          <w:szCs w:val="26"/>
        </w:rPr>
        <w:t>09 ноября 2022 года</w:t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004FAB">
        <w:rPr>
          <w:sz w:val="28"/>
          <w:szCs w:val="26"/>
        </w:rPr>
        <w:t xml:space="preserve">     </w:t>
      </w:r>
      <w:r w:rsidR="00985EF0" w:rsidRPr="007A2CE4">
        <w:rPr>
          <w:sz w:val="28"/>
          <w:szCs w:val="26"/>
        </w:rPr>
        <w:t xml:space="preserve">   </w:t>
      </w:r>
      <w:r w:rsidRPr="007A2CE4">
        <w:rPr>
          <w:sz w:val="28"/>
          <w:szCs w:val="26"/>
        </w:rPr>
        <w:t>№ </w:t>
      </w:r>
      <w:r w:rsidR="00004FAB">
        <w:rPr>
          <w:sz w:val="28"/>
          <w:szCs w:val="26"/>
        </w:rPr>
        <w:t>525-р</w:t>
      </w:r>
      <w:r w:rsidRPr="007A2CE4">
        <w:rPr>
          <w:sz w:val="28"/>
          <w:szCs w:val="26"/>
        </w:rPr>
        <w:br/>
      </w:r>
    </w:p>
    <w:p w:rsidR="00E62434" w:rsidRPr="007A2CE4" w:rsidRDefault="00E62434" w:rsidP="00B952A2">
      <w:pPr>
        <w:spacing w:after="0"/>
        <w:rPr>
          <w:sz w:val="28"/>
        </w:rPr>
      </w:pPr>
    </w:p>
    <w:p w:rsidR="007E1256" w:rsidRDefault="007E1256" w:rsidP="007E1256">
      <w:pPr>
        <w:spacing w:after="0"/>
        <w:rPr>
          <w:sz w:val="28"/>
          <w:szCs w:val="28"/>
        </w:rPr>
      </w:pPr>
      <w:r w:rsidRPr="00753A19">
        <w:rPr>
          <w:sz w:val="28"/>
          <w:szCs w:val="28"/>
        </w:rPr>
        <w:t>О прогнозе</w:t>
      </w:r>
      <w:r>
        <w:rPr>
          <w:sz w:val="28"/>
          <w:szCs w:val="28"/>
        </w:rPr>
        <w:t xml:space="preserve"> </w:t>
      </w:r>
      <w:r w:rsidRPr="00753A19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</w:p>
    <w:p w:rsidR="007E1256" w:rsidRPr="00753A19" w:rsidRDefault="007E1256" w:rsidP="007E1256">
      <w:pPr>
        <w:spacing w:after="0"/>
        <w:rPr>
          <w:sz w:val="28"/>
          <w:szCs w:val="28"/>
        </w:rPr>
      </w:pPr>
      <w:r w:rsidRPr="00753A19">
        <w:rPr>
          <w:sz w:val="28"/>
          <w:szCs w:val="28"/>
        </w:rPr>
        <w:t xml:space="preserve">развития города Югорска </w:t>
      </w:r>
    </w:p>
    <w:p w:rsidR="007E1256" w:rsidRPr="00753A19" w:rsidRDefault="007E1256" w:rsidP="007E1256">
      <w:pPr>
        <w:spacing w:after="0"/>
        <w:rPr>
          <w:sz w:val="28"/>
          <w:szCs w:val="28"/>
        </w:rPr>
      </w:pPr>
      <w:r w:rsidRPr="00753A19">
        <w:rPr>
          <w:sz w:val="28"/>
          <w:szCs w:val="28"/>
        </w:rPr>
        <w:t>на период до 2036 года</w:t>
      </w:r>
    </w:p>
    <w:p w:rsidR="007E1256" w:rsidRPr="00753A19" w:rsidRDefault="007E1256" w:rsidP="007E1256">
      <w:pPr>
        <w:spacing w:after="0"/>
        <w:rPr>
          <w:sz w:val="28"/>
          <w:szCs w:val="28"/>
        </w:rPr>
      </w:pPr>
    </w:p>
    <w:p w:rsidR="007E1256" w:rsidRPr="00753A19" w:rsidRDefault="007E1256" w:rsidP="007E1256">
      <w:pPr>
        <w:spacing w:after="0"/>
        <w:rPr>
          <w:sz w:val="28"/>
          <w:szCs w:val="28"/>
        </w:rPr>
      </w:pPr>
    </w:p>
    <w:p w:rsidR="007E1256" w:rsidRPr="00753A19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53A19">
        <w:rPr>
          <w:sz w:val="28"/>
          <w:szCs w:val="28"/>
        </w:rPr>
        <w:t xml:space="preserve">В соответствии с Федеральным законом от 28.06.2014 № 172-ФЗ </w:t>
      </w:r>
      <w:r>
        <w:rPr>
          <w:sz w:val="28"/>
          <w:szCs w:val="28"/>
        </w:rPr>
        <w:t xml:space="preserve">                    </w:t>
      </w:r>
      <w:r w:rsidRPr="00753A19">
        <w:rPr>
          <w:sz w:val="28"/>
          <w:szCs w:val="28"/>
        </w:rPr>
        <w:t>«О стратегическом планировании в Российской Федерации», постановление</w:t>
      </w:r>
      <w:r>
        <w:rPr>
          <w:sz w:val="28"/>
          <w:szCs w:val="28"/>
        </w:rPr>
        <w:t xml:space="preserve">м администрации города Югорска </w:t>
      </w:r>
      <w:r w:rsidRPr="00753A19">
        <w:rPr>
          <w:sz w:val="28"/>
          <w:szCs w:val="28"/>
        </w:rPr>
        <w:t>от 02.11.2018 № 3051 «О Порядке разработки, корректировки, утверждения (одобрения) прогноза социально-экономического развития города Югорска на долгосрочный период, осуществления мониторинга и контроля его реализации»: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53A19">
        <w:rPr>
          <w:sz w:val="28"/>
          <w:szCs w:val="28"/>
        </w:rPr>
        <w:t>1. Одобрить прогноз социально-экономического развития города Югорска на период до 2036 года</w:t>
      </w:r>
      <w:bookmarkStart w:id="0" w:name="sub_100"/>
      <w:r w:rsidRPr="0075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долгосрочный прогноз) </w:t>
      </w:r>
      <w:r w:rsidRPr="00753A19">
        <w:rPr>
          <w:sz w:val="28"/>
          <w:szCs w:val="28"/>
        </w:rPr>
        <w:t>(приложение).</w:t>
      </w:r>
    </w:p>
    <w:p w:rsidR="007E1256" w:rsidRPr="00753A19" w:rsidRDefault="007E1256" w:rsidP="007E125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Органам и структурным подразделениям администрации города Югорска использовать долгосрочный прогноз при разработке отраслевых документов стратегического планирования и проектов муниципальных программ города Югорска.</w:t>
      </w:r>
    </w:p>
    <w:p w:rsidR="007E1256" w:rsidRPr="00753A19" w:rsidRDefault="007E1256" w:rsidP="007E1256">
      <w:pPr>
        <w:spacing w:after="0"/>
        <w:ind w:firstLine="709"/>
        <w:jc w:val="both"/>
        <w:rPr>
          <w:sz w:val="28"/>
          <w:szCs w:val="28"/>
        </w:rPr>
      </w:pPr>
      <w:bookmarkStart w:id="1" w:name="sub_200"/>
      <w:bookmarkEnd w:id="0"/>
      <w:r>
        <w:rPr>
          <w:sz w:val="28"/>
          <w:szCs w:val="28"/>
        </w:rPr>
        <w:t>3</w:t>
      </w:r>
      <w:r w:rsidRPr="00753A19">
        <w:rPr>
          <w:sz w:val="28"/>
          <w:szCs w:val="28"/>
        </w:rPr>
        <w:t xml:space="preserve">. Распоряжение администрации города Югорска от </w:t>
      </w:r>
      <w:r>
        <w:rPr>
          <w:sz w:val="28"/>
          <w:szCs w:val="28"/>
        </w:rPr>
        <w:t>01.08.</w:t>
      </w:r>
      <w:r w:rsidRPr="00EE46C6">
        <w:rPr>
          <w:sz w:val="28"/>
          <w:szCs w:val="28"/>
        </w:rPr>
        <w:t>2019 № 330 «О прогнозе социально-экономического развития города Югорска на период до 2036 года» признать утратившим силу.</w:t>
      </w:r>
      <w:bookmarkEnd w:id="1"/>
    </w:p>
    <w:p w:rsidR="007E1256" w:rsidRPr="00E97E0A" w:rsidRDefault="007E1256" w:rsidP="007E1256">
      <w:pPr>
        <w:spacing w:after="0"/>
        <w:ind w:firstLine="709"/>
        <w:jc w:val="both"/>
        <w:rPr>
          <w:sz w:val="24"/>
          <w:szCs w:val="24"/>
        </w:rPr>
      </w:pPr>
    </w:p>
    <w:p w:rsidR="007E1256" w:rsidRPr="00E97E0A" w:rsidRDefault="007E1256" w:rsidP="007E1256">
      <w:pPr>
        <w:spacing w:after="0"/>
        <w:ind w:firstLine="709"/>
        <w:jc w:val="both"/>
        <w:rPr>
          <w:sz w:val="24"/>
          <w:szCs w:val="24"/>
        </w:rPr>
      </w:pPr>
    </w:p>
    <w:p w:rsidR="007E1256" w:rsidRPr="00E97E0A" w:rsidRDefault="007E1256" w:rsidP="007E1256">
      <w:pPr>
        <w:spacing w:after="0"/>
        <w:ind w:firstLine="709"/>
        <w:jc w:val="both"/>
        <w:rPr>
          <w:sz w:val="24"/>
          <w:szCs w:val="24"/>
        </w:rPr>
      </w:pPr>
    </w:p>
    <w:p w:rsidR="007E1256" w:rsidRPr="00753A19" w:rsidRDefault="007E1256" w:rsidP="007E1256">
      <w:pPr>
        <w:spacing w:after="0"/>
        <w:jc w:val="both"/>
        <w:rPr>
          <w:b/>
          <w:sz w:val="28"/>
          <w:szCs w:val="28"/>
        </w:rPr>
      </w:pPr>
      <w:r w:rsidRPr="00753A19">
        <w:rPr>
          <w:b/>
          <w:sz w:val="28"/>
          <w:szCs w:val="28"/>
        </w:rPr>
        <w:t>Исполняющий обязанности</w:t>
      </w:r>
    </w:p>
    <w:p w:rsidR="007E1256" w:rsidRPr="00753A19" w:rsidRDefault="007E1256" w:rsidP="007E12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53A19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города Ю</w:t>
      </w:r>
      <w:r w:rsidRPr="00753A19">
        <w:rPr>
          <w:b/>
          <w:sz w:val="28"/>
          <w:szCs w:val="28"/>
        </w:rPr>
        <w:t xml:space="preserve">горска </w:t>
      </w:r>
      <w:r>
        <w:rPr>
          <w:b/>
          <w:sz w:val="28"/>
          <w:szCs w:val="28"/>
        </w:rPr>
        <w:t xml:space="preserve">  </w:t>
      </w:r>
      <w:r w:rsidRPr="00753A19">
        <w:rPr>
          <w:b/>
          <w:sz w:val="28"/>
          <w:szCs w:val="28"/>
        </w:rPr>
        <w:t xml:space="preserve">                                                                </w:t>
      </w:r>
      <w:r w:rsidRPr="00952EE9">
        <w:rPr>
          <w:b/>
          <w:sz w:val="28"/>
          <w:szCs w:val="28"/>
        </w:rPr>
        <w:t>Д.А. Крылов</w:t>
      </w:r>
    </w:p>
    <w:p w:rsidR="007E1256" w:rsidRDefault="007E1256" w:rsidP="007E1256">
      <w:pPr>
        <w:ind w:firstLine="709"/>
        <w:jc w:val="both"/>
        <w:rPr>
          <w:sz w:val="24"/>
          <w:szCs w:val="24"/>
        </w:rPr>
      </w:pPr>
    </w:p>
    <w:p w:rsidR="007E1256" w:rsidRPr="007E1256" w:rsidRDefault="007E1256" w:rsidP="007E1256">
      <w:pPr>
        <w:spacing w:after="0"/>
        <w:jc w:val="right"/>
        <w:rPr>
          <w:b/>
          <w:sz w:val="28"/>
          <w:szCs w:val="28"/>
        </w:rPr>
      </w:pPr>
      <w:r w:rsidRPr="007E1256">
        <w:rPr>
          <w:b/>
          <w:sz w:val="28"/>
          <w:szCs w:val="28"/>
        </w:rPr>
        <w:lastRenderedPageBreak/>
        <w:t>Приложение</w:t>
      </w:r>
    </w:p>
    <w:p w:rsidR="007E1256" w:rsidRPr="007E1256" w:rsidRDefault="007E1256" w:rsidP="007E1256">
      <w:pPr>
        <w:spacing w:after="0"/>
        <w:jc w:val="right"/>
        <w:rPr>
          <w:b/>
          <w:sz w:val="28"/>
          <w:szCs w:val="28"/>
        </w:rPr>
      </w:pPr>
      <w:r w:rsidRPr="007E1256">
        <w:rPr>
          <w:b/>
          <w:sz w:val="28"/>
          <w:szCs w:val="28"/>
        </w:rPr>
        <w:t>к распоряжению</w:t>
      </w:r>
    </w:p>
    <w:p w:rsidR="007E1256" w:rsidRPr="007E1256" w:rsidRDefault="007E1256" w:rsidP="007E1256">
      <w:pPr>
        <w:spacing w:after="0"/>
        <w:jc w:val="right"/>
        <w:rPr>
          <w:b/>
          <w:sz w:val="28"/>
          <w:szCs w:val="28"/>
        </w:rPr>
      </w:pPr>
      <w:r w:rsidRPr="007E1256">
        <w:rPr>
          <w:b/>
          <w:sz w:val="28"/>
          <w:szCs w:val="28"/>
        </w:rPr>
        <w:t>администрации города Югорска</w:t>
      </w:r>
    </w:p>
    <w:p w:rsidR="007E1256" w:rsidRPr="00004FAB" w:rsidRDefault="007E1256" w:rsidP="007E125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7E1256">
        <w:rPr>
          <w:sz w:val="28"/>
          <w:szCs w:val="28"/>
        </w:rPr>
        <w:t xml:space="preserve"> </w:t>
      </w:r>
      <w:r w:rsidR="00004FAB" w:rsidRPr="00004FAB">
        <w:rPr>
          <w:b/>
          <w:sz w:val="28"/>
          <w:szCs w:val="26"/>
        </w:rPr>
        <w:t>09 ноября 2022 года</w:t>
      </w:r>
      <w:r w:rsidRPr="007E1256">
        <w:rPr>
          <w:b/>
          <w:sz w:val="28"/>
          <w:szCs w:val="28"/>
        </w:rPr>
        <w:t xml:space="preserve"> № </w:t>
      </w:r>
      <w:r w:rsidR="00004FAB" w:rsidRPr="00004FAB">
        <w:rPr>
          <w:b/>
          <w:sz w:val="28"/>
          <w:szCs w:val="28"/>
        </w:rPr>
        <w:t>525-р</w:t>
      </w:r>
    </w:p>
    <w:p w:rsidR="007E1256" w:rsidRPr="00004FAB" w:rsidRDefault="007E1256" w:rsidP="007E1256">
      <w:pPr>
        <w:spacing w:after="0"/>
        <w:rPr>
          <w:b/>
          <w:sz w:val="28"/>
          <w:szCs w:val="28"/>
        </w:rPr>
      </w:pPr>
    </w:p>
    <w:p w:rsidR="007E1256" w:rsidRDefault="007E1256" w:rsidP="007E1256">
      <w:pPr>
        <w:spacing w:after="0"/>
        <w:rPr>
          <w:sz w:val="28"/>
          <w:szCs w:val="28"/>
        </w:rPr>
      </w:pPr>
      <w:bookmarkStart w:id="2" w:name="_GoBack"/>
      <w:bookmarkEnd w:id="2"/>
    </w:p>
    <w:p w:rsidR="007E1256" w:rsidRDefault="007E1256" w:rsidP="007E1256">
      <w:pPr>
        <w:spacing w:after="0"/>
        <w:rPr>
          <w:sz w:val="28"/>
          <w:szCs w:val="28"/>
        </w:rPr>
      </w:pPr>
    </w:p>
    <w:p w:rsidR="007E1256" w:rsidRPr="007E1256" w:rsidRDefault="007E1256" w:rsidP="007E1256">
      <w:pPr>
        <w:spacing w:after="0"/>
        <w:rPr>
          <w:sz w:val="28"/>
          <w:szCs w:val="28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Прогноз социально-экономического развития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города Югорска на период до 2036 года</w:t>
      </w:r>
    </w:p>
    <w:p w:rsidR="007E1256" w:rsidRDefault="007E1256" w:rsidP="007E1256">
      <w:pPr>
        <w:spacing w:after="0"/>
        <w:jc w:val="center"/>
        <w:rPr>
          <w:b/>
          <w:bCs/>
          <w:sz w:val="28"/>
          <w:szCs w:val="28"/>
          <w:highlight w:val="yellow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  <w:highlight w:val="yellow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bCs/>
          <w:sz w:val="28"/>
          <w:szCs w:val="28"/>
        </w:rPr>
        <w:t xml:space="preserve">Прогноз социально-экономического развития города Югорска на период до 2036 года </w:t>
      </w:r>
      <w:r w:rsidRPr="007E1256">
        <w:rPr>
          <w:sz w:val="28"/>
          <w:szCs w:val="28"/>
          <w:lang w:eastAsia="ru-RU"/>
        </w:rPr>
        <w:t xml:space="preserve">(далее - долгосрочный прогноз) является одним из основных документов системы стратегического планирования города Югорска. Он определяет направления и ожидаемые результаты социально-экономического развития города Югорска в долгосрочной перспективе и содержит основные тенденции и обоснование внутренних и внешних условий достижения целевых показателей.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Долгосрочный прогноз базируется на основе исходных условий, основных параметров долгосрочного прогноза социально-экономического развития Российской Федерации на период до 2036 года, основных показателях прогноза социально-экономического развития Ханты-Мансийского автономного округа - Югры на период до 2036 года, </w:t>
      </w:r>
      <w:r>
        <w:rPr>
          <w:sz w:val="28"/>
          <w:szCs w:val="28"/>
          <w:lang w:eastAsia="ru-RU"/>
        </w:rPr>
        <w:t xml:space="preserve">  </w:t>
      </w:r>
      <w:r w:rsidRPr="007E1256">
        <w:rPr>
          <w:sz w:val="28"/>
          <w:szCs w:val="28"/>
          <w:lang w:eastAsia="ru-RU"/>
        </w:rPr>
        <w:t xml:space="preserve">Стратегии социально-экономического развития муниципального образования город Югорск до 2030 года и других документов долгосрочного характера. 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В долгосрочном прогнозе отражены запланированные к реализации мероприятия, направленные на достижение национальных целей развития, установленных указами Президента Российской Федерации от 07.05.2018    № 204 «О национальных целях и стратегических задачах развития Российской Федерации на период до 2024 года», </w:t>
      </w:r>
      <w:r w:rsidRPr="007E1256">
        <w:rPr>
          <w:sz w:val="28"/>
          <w:szCs w:val="28"/>
        </w:rPr>
        <w:t>от 21.07.2020 № 474</w:t>
      </w:r>
      <w:r>
        <w:rPr>
          <w:sz w:val="28"/>
          <w:szCs w:val="28"/>
        </w:rPr>
        <w:t xml:space="preserve">                    </w:t>
      </w:r>
      <w:r w:rsidRPr="007E1256">
        <w:rPr>
          <w:sz w:val="28"/>
          <w:szCs w:val="28"/>
        </w:rPr>
        <w:t xml:space="preserve"> «О национальных целях развития Российской Федерации на период до 2030 года»</w:t>
      </w:r>
      <w:r w:rsidRPr="007E1256">
        <w:rPr>
          <w:sz w:val="28"/>
          <w:szCs w:val="28"/>
          <w:lang w:eastAsia="ru-RU"/>
        </w:rPr>
        <w:t>.</w:t>
      </w:r>
    </w:p>
    <w:p w:rsidR="007E1256" w:rsidRPr="007E1256" w:rsidRDefault="007E1256" w:rsidP="007E1256">
      <w:pPr>
        <w:spacing w:after="0"/>
        <w:ind w:firstLine="426"/>
        <w:jc w:val="both"/>
        <w:rPr>
          <w:rFonts w:eastAsia="Calibri"/>
          <w:sz w:val="28"/>
          <w:szCs w:val="28"/>
          <w:highlight w:val="yellow"/>
        </w:rPr>
      </w:pPr>
    </w:p>
    <w:p w:rsidR="007E1256" w:rsidRPr="007E1256" w:rsidRDefault="007E1256" w:rsidP="007E1256">
      <w:pPr>
        <w:pStyle w:val="a5"/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1256">
        <w:rPr>
          <w:rFonts w:ascii="PT Astra Serif" w:hAnsi="PT Astra Serif"/>
          <w:b/>
          <w:bCs/>
          <w:sz w:val="28"/>
          <w:szCs w:val="28"/>
        </w:rPr>
        <w:t xml:space="preserve">Оценка достигнутого уровня социально-экономического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Pr="007E1256">
        <w:rPr>
          <w:rFonts w:ascii="PT Astra Serif" w:hAnsi="PT Astra Serif"/>
          <w:b/>
          <w:bCs/>
          <w:sz w:val="28"/>
          <w:szCs w:val="28"/>
        </w:rPr>
        <w:t>развития города Югорска</w:t>
      </w:r>
    </w:p>
    <w:p w:rsidR="007E1256" w:rsidRPr="007E1256" w:rsidRDefault="007E1256" w:rsidP="007E1256">
      <w:pPr>
        <w:pStyle w:val="a5"/>
        <w:spacing w:line="276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Социально-экономическое положение города Югорска в 2020-2022 годах характеризуется следующими показателями:</w:t>
      </w:r>
    </w:p>
    <w:p w:rsidR="007E1256" w:rsidRPr="007E1256" w:rsidRDefault="007E1256" w:rsidP="007E1256">
      <w:pPr>
        <w:spacing w:after="0"/>
        <w:ind w:firstLine="567"/>
        <w:jc w:val="right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lastRenderedPageBreak/>
        <w:t>Таблица 1</w:t>
      </w:r>
    </w:p>
    <w:p w:rsidR="007E1256" w:rsidRPr="007E1256" w:rsidRDefault="007E1256" w:rsidP="007E1256">
      <w:pPr>
        <w:spacing w:after="0"/>
        <w:ind w:firstLine="567"/>
        <w:contextualSpacing/>
        <w:jc w:val="center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Динамика показателей социально-экономического развития города Югорска</w:t>
      </w:r>
    </w:p>
    <w:p w:rsidR="007E1256" w:rsidRPr="007E1256" w:rsidRDefault="007E1256" w:rsidP="007E1256">
      <w:pPr>
        <w:spacing w:after="0"/>
        <w:ind w:firstLine="567"/>
        <w:contextualSpacing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1256">
              <w:rPr>
                <w:rFonts w:eastAsia="Calibri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1256">
              <w:rPr>
                <w:rFonts w:eastAsia="Calibri"/>
                <w:bCs/>
                <w:sz w:val="24"/>
                <w:szCs w:val="24"/>
              </w:rPr>
              <w:t>2020</w:t>
            </w:r>
          </w:p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1256">
              <w:rPr>
                <w:rFonts w:eastAsia="Calibri"/>
                <w:bCs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1256">
              <w:rPr>
                <w:rFonts w:eastAsia="Calibri"/>
                <w:bCs/>
                <w:sz w:val="24"/>
                <w:szCs w:val="24"/>
              </w:rPr>
              <w:t>2021</w:t>
            </w:r>
          </w:p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1256">
              <w:rPr>
                <w:rFonts w:eastAsia="Calibri"/>
                <w:bCs/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1256">
              <w:rPr>
                <w:rFonts w:eastAsia="Calibri"/>
                <w:bCs/>
                <w:sz w:val="24"/>
                <w:szCs w:val="24"/>
              </w:rPr>
              <w:t>2022 оценка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38,7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39,0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Объем промышленного производства (по крупным и средним предприятиям),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1608,7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1583,6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Индекс промышленного производства,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122,6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88,5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Инвестиции в основной капитал (без субъектов малого предпринимательства),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2651,2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1721,2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1753,0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Индекс физического объема инвестиций в основной капитал,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61,9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89,4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Среднемесячная номинальная начисленная заработная плата одного работника по крупным и средним предприятиям,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99621,7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104503,8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115774,0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Среднедушевые денежные доходы населения в месяц,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51944,7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53218,9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55750,6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Реальные располагаемые денежные доходы населения,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97,1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94,8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Уровень зарегистрированной безработицы (на конец года),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0,73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0,73</w:t>
            </w:r>
          </w:p>
        </w:tc>
      </w:tr>
      <w:tr w:rsidR="007E1256" w:rsidRPr="007E1256" w:rsidTr="007E12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Ввод жилья, 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19,6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E1256">
              <w:rPr>
                <w:rFonts w:eastAsia="Calibri"/>
                <w:sz w:val="24"/>
                <w:szCs w:val="24"/>
              </w:rPr>
              <w:t>24,8</w:t>
            </w:r>
          </w:p>
        </w:tc>
      </w:tr>
    </w:tbl>
    <w:p w:rsidR="007E1256" w:rsidRPr="007E1256" w:rsidRDefault="007E1256" w:rsidP="007E1256">
      <w:pPr>
        <w:spacing w:after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E1256" w:rsidRPr="007E1256" w:rsidRDefault="007E1256" w:rsidP="007E1256">
      <w:pPr>
        <w:pStyle w:val="a5"/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1256">
        <w:rPr>
          <w:rFonts w:ascii="PT Astra Serif" w:hAnsi="PT Astra Serif"/>
          <w:b/>
          <w:bCs/>
          <w:sz w:val="28"/>
          <w:szCs w:val="28"/>
        </w:rPr>
        <w:t>Общая характеристика сценария социально-экономического развития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7E1256">
        <w:rPr>
          <w:rFonts w:eastAsia="Calibri"/>
          <w:sz w:val="28"/>
          <w:szCs w:val="28"/>
        </w:rPr>
        <w:t xml:space="preserve">Основные направления социально-экономического развития города Югорска на долгосрочную перспективу определены на основе приоритетов, сформулированных в указах Президента Российской Федерации </w:t>
      </w:r>
      <w:r>
        <w:rPr>
          <w:rFonts w:eastAsia="Calibri"/>
          <w:sz w:val="28"/>
          <w:szCs w:val="28"/>
        </w:rPr>
        <w:t xml:space="preserve">                              </w:t>
      </w:r>
      <w:r w:rsidRPr="007E1256">
        <w:rPr>
          <w:rFonts w:eastAsia="Calibri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года», </w:t>
      </w:r>
      <w:r w:rsidRPr="007E1256">
        <w:rPr>
          <w:sz w:val="28"/>
          <w:szCs w:val="28"/>
        </w:rPr>
        <w:t xml:space="preserve">от 21.07.2020 </w:t>
      </w:r>
      <w:r>
        <w:rPr>
          <w:sz w:val="28"/>
          <w:szCs w:val="28"/>
        </w:rPr>
        <w:t xml:space="preserve">                    </w:t>
      </w:r>
      <w:r w:rsidRPr="007E1256">
        <w:rPr>
          <w:sz w:val="28"/>
          <w:szCs w:val="28"/>
        </w:rPr>
        <w:t>№ 474 «О национальных целях развития Российской Федерации на</w:t>
      </w:r>
      <w:r w:rsidR="00004FAB">
        <w:rPr>
          <w:sz w:val="28"/>
          <w:szCs w:val="28"/>
        </w:rPr>
        <w:t xml:space="preserve">                </w:t>
      </w:r>
      <w:r w:rsidRPr="007E125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7E1256">
        <w:rPr>
          <w:sz w:val="28"/>
          <w:szCs w:val="28"/>
        </w:rPr>
        <w:t xml:space="preserve">до 2030 года», </w:t>
      </w:r>
      <w:r w:rsidRPr="007E1256">
        <w:rPr>
          <w:rFonts w:eastAsia="Calibri"/>
          <w:sz w:val="28"/>
          <w:szCs w:val="28"/>
        </w:rPr>
        <w:t>Стратегии социально-экономического развития муниципального образования город Югорск до 2030 года.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Сценарии развития соответствуют долгосрочному прогнозу социально-экономического развития Ханты-Мансийского автономного округа - Югры.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На долгосрочную перспективу выделяются 2 варианта сценария социально-экономического развития - базовый и целевой.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</w:rPr>
        <w:t xml:space="preserve">Базовый вариант (вариант 1) характеризует развитие экономики в условиях сохранения консервативных тенденций, </w:t>
      </w:r>
      <w:r w:rsidRPr="007E1256">
        <w:rPr>
          <w:sz w:val="28"/>
          <w:szCs w:val="28"/>
          <w:lang w:eastAsia="ru-RU"/>
        </w:rPr>
        <w:t xml:space="preserve">исходит из относительно </w:t>
      </w:r>
      <w:r w:rsidRPr="007E1256">
        <w:rPr>
          <w:sz w:val="28"/>
          <w:szCs w:val="28"/>
          <w:lang w:eastAsia="ru-RU"/>
        </w:rPr>
        <w:lastRenderedPageBreak/>
        <w:t>устойчивой комбинации внешних и внутренних условий, позволяющей сохранить достигнутые показатели социально-экономического развития территории.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Экономический рост по базовому варианту прогноза будет обеспечиваться увеличением инвестиций в основной капитал.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Целевой вариант (вариант 2) предполагает выход экономики на траекторию устойчивого роста, стабилизацию инфляции при одновременном обеспечении макроэкономической сбалансированности.</w:t>
      </w:r>
    </w:p>
    <w:p w:rsidR="007E1256" w:rsidRPr="007E1256" w:rsidRDefault="007E1256" w:rsidP="007E1256">
      <w:pPr>
        <w:tabs>
          <w:tab w:val="left" w:pos="142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При данном </w:t>
      </w:r>
      <w:r w:rsidRPr="007E1256">
        <w:rPr>
          <w:rFonts w:eastAsia="Calibri"/>
          <w:sz w:val="28"/>
          <w:szCs w:val="28"/>
        </w:rPr>
        <w:t xml:space="preserve">сценарии развития города ресурсы будут сконцентрированы не только на </w:t>
      </w:r>
      <w:r w:rsidRPr="007E1256">
        <w:rPr>
          <w:sz w:val="28"/>
          <w:szCs w:val="28"/>
          <w:lang w:eastAsia="ru-RU"/>
        </w:rPr>
        <w:t>существующих точках роста, но и на создании условий для появления новых источников развития экономической и социальной сферы города Югорска.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Для долгосрочного бюджетного планирования предлагается базовый вариант, результатом реализации которого станет достижение стратегических целей социально-экономического развития города Югорска.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</w:p>
    <w:p w:rsidR="007E1256" w:rsidRPr="007E1256" w:rsidRDefault="007E1256" w:rsidP="007E1256">
      <w:pPr>
        <w:spacing w:after="0"/>
        <w:ind w:firstLine="567"/>
        <w:jc w:val="right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Таблица 2</w:t>
      </w:r>
    </w:p>
    <w:p w:rsidR="007E1256" w:rsidRPr="007E1256" w:rsidRDefault="007E1256" w:rsidP="007E1256">
      <w:pPr>
        <w:spacing w:after="0"/>
        <w:ind w:firstLine="709"/>
        <w:jc w:val="center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Основные показатели прогноза</w:t>
      </w:r>
    </w:p>
    <w:p w:rsidR="007E1256" w:rsidRPr="007E1256" w:rsidRDefault="007E1256" w:rsidP="007E1256">
      <w:pPr>
        <w:spacing w:after="0"/>
        <w:ind w:firstLine="709"/>
        <w:jc w:val="center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социально-экономического развития города Югорска до 2036 года</w:t>
      </w:r>
    </w:p>
    <w:p w:rsidR="007E1256" w:rsidRPr="007E1256" w:rsidRDefault="007E1256" w:rsidP="007E1256">
      <w:pPr>
        <w:spacing w:after="0"/>
        <w:ind w:firstLine="709"/>
        <w:jc w:val="center"/>
        <w:rPr>
          <w:b/>
          <w:sz w:val="28"/>
          <w:szCs w:val="28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709"/>
        <w:gridCol w:w="850"/>
        <w:gridCol w:w="851"/>
        <w:gridCol w:w="1276"/>
        <w:gridCol w:w="1275"/>
      </w:tblGrid>
      <w:tr w:rsidR="007E1256" w:rsidRPr="007E1256" w:rsidTr="007E12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2031-2036</w:t>
            </w:r>
          </w:p>
        </w:tc>
      </w:tr>
      <w:tr w:rsidR="007E1256" w:rsidRPr="007E1256" w:rsidTr="007E12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Индекс потребительских цен (декабрь к декабрю),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</w:rPr>
            </w:pPr>
            <w:r w:rsidRPr="007E1256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</w:rPr>
            </w:pPr>
            <w:r w:rsidRPr="007E1256">
              <w:rPr>
                <w:sz w:val="24"/>
                <w:szCs w:val="24"/>
                <w:lang w:eastAsia="ru-RU"/>
              </w:rPr>
              <w:t>104,0</w:t>
            </w:r>
          </w:p>
        </w:tc>
      </w:tr>
      <w:tr w:rsidR="007E1256" w:rsidRPr="007E1256" w:rsidTr="007E12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Индекс промышленного производства,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</w:rPr>
            </w:pPr>
            <w:r w:rsidRPr="007E1256">
              <w:rPr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100,5</w:t>
            </w:r>
          </w:p>
        </w:tc>
      </w:tr>
      <w:tr w:rsidR="007E1256" w:rsidRPr="007E1256" w:rsidTr="007E12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 xml:space="preserve">Инвестиции в основной капитал (без субъектов малого предпринимательства),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E1256">
              <w:rPr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</w:rPr>
            </w:pPr>
            <w:r w:rsidRPr="007E1256">
              <w:rPr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95,8-96,1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96,1-96,4</w:t>
            </w:r>
          </w:p>
        </w:tc>
      </w:tr>
      <w:tr w:rsidR="007E1256" w:rsidRPr="007E1256" w:rsidTr="007E12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Реальная заработная плата,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</w:rPr>
            </w:pPr>
            <w:r w:rsidRPr="007E1256">
              <w:rPr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101,3-101,6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101,6-102,0</w:t>
            </w:r>
          </w:p>
        </w:tc>
      </w:tr>
      <w:tr w:rsidR="007E1256" w:rsidRPr="007E1256" w:rsidTr="007E12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7E1256" w:rsidRDefault="007E1256" w:rsidP="007E1256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Уровень зарегистрированной безработицы,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</w:rPr>
            </w:pPr>
            <w:r w:rsidRPr="007E1256">
              <w:rPr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0,86-0,77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7E1256" w:rsidRDefault="007E1256" w:rsidP="007E1256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E1256">
              <w:rPr>
                <w:sz w:val="24"/>
                <w:szCs w:val="24"/>
                <w:lang w:eastAsia="ru-RU"/>
              </w:rPr>
              <w:t>0,75-0,65</w:t>
            </w:r>
          </w:p>
        </w:tc>
      </w:tr>
    </w:tbl>
    <w:p w:rsidR="007E1256" w:rsidRPr="007E1256" w:rsidRDefault="007E1256" w:rsidP="007E1256">
      <w:pPr>
        <w:pStyle w:val="a5"/>
        <w:spacing w:line="276" w:lineRule="auto"/>
        <w:ind w:left="0"/>
        <w:rPr>
          <w:rFonts w:ascii="PT Astra Serif" w:eastAsia="Calibri" w:hAnsi="PT Astra Serif"/>
          <w:b/>
          <w:bCs/>
          <w:sz w:val="28"/>
          <w:szCs w:val="28"/>
          <w:highlight w:val="yellow"/>
          <w:lang w:eastAsia="en-US"/>
        </w:rPr>
      </w:pPr>
    </w:p>
    <w:p w:rsidR="007E1256" w:rsidRPr="007E1256" w:rsidRDefault="007E1256" w:rsidP="007E1256">
      <w:pPr>
        <w:pStyle w:val="a5"/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1256">
        <w:rPr>
          <w:rFonts w:ascii="PT Astra Serif" w:hAnsi="PT Astra Serif"/>
          <w:b/>
          <w:bCs/>
          <w:sz w:val="28"/>
          <w:szCs w:val="28"/>
        </w:rPr>
        <w:t>Основные макроэкономические параметры базового варианта прогноза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lastRenderedPageBreak/>
        <w:t>Демографическая ситуация</w:t>
      </w:r>
    </w:p>
    <w:p w:rsidR="007E1256" w:rsidRPr="007E1256" w:rsidRDefault="007E1256" w:rsidP="007E1256">
      <w:pPr>
        <w:spacing w:after="0"/>
        <w:jc w:val="both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Основные направления демографической политики связаны с реализацией национального проекта «Демография» и соответствующих региональных проектов, направленных на создание условий  для доступности дошкольного образования детей в возрасте до 3 лет, повышения качества жизни старшего поколения и занятий физической культурой и спортом.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Значительное влияние на экономические процессы оказывает демографическая ситуация. При сохранении сложившихся тенденций естественного и миграционного прироста  в долгосрочном периоде к 2036 году среднегодовая численность населения может достичь 42,2 тыс. человек.  При этом в возрастной структуре населения будет увеличиваться доля населения трудоспособного и старше трудоспособного возрастов, что приведёт к дополнительным затратам на здравоохранение, социальную защиту, а также пенсионную систему. 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Улучшение демографической ситуации возможно за счет проведения активной политики по повышению уровня и качества жизни населения, развитие объектов социальной сферы и жилищного строительства.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>Динамика показателей рождаемости в первой половине прогнозного периода характеризуется сокращением числа женщин репродуктивного возраста, которого достигли родившиеся в малочисленном поколении 90-х годов, и постепенным увеличением показателя после 2025 года в результате вступления в репродуктивный период поколения 2000-х годов.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 xml:space="preserve">В прогнозном периоде будут происходить изменения возрастного состава населения: 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 xml:space="preserve">- численность населения моложе трудоспособного возраста будет ежегодно снижаться за счет снижения показателей рождаемости; 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>- «переходный период», предусмотренный изменением пенсионного законодательства, отразится на численности граждан трудоспособного возраста, число которых в абсолютном выражении будет увеличиваться.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 xml:space="preserve">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 </w:t>
      </w:r>
      <w:r w:rsidRPr="007E1256">
        <w:rPr>
          <w:sz w:val="28"/>
          <w:szCs w:val="28"/>
          <w:lang w:eastAsia="ru-RU"/>
        </w:rPr>
        <w:t>города Югорска</w:t>
      </w:r>
      <w:r w:rsidRPr="007E1256">
        <w:rPr>
          <w:rFonts w:eastAsia="Calibri"/>
          <w:sz w:val="28"/>
          <w:szCs w:val="28"/>
          <w:lang w:eastAsia="zh-CN"/>
        </w:rPr>
        <w:t>.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 xml:space="preserve">Меры, направленные на повышение доступности и качества оказания специализированной, в том числе высокотехнологичной медицинской помощи будут способствовать сохранению показателя смертности населения </w:t>
      </w:r>
      <w:r w:rsidRPr="007E1256">
        <w:rPr>
          <w:sz w:val="28"/>
          <w:szCs w:val="28"/>
          <w:lang w:eastAsia="ru-RU"/>
        </w:rPr>
        <w:t>города Югорска</w:t>
      </w:r>
      <w:r w:rsidRPr="007E1256">
        <w:rPr>
          <w:rFonts w:eastAsia="Calibri"/>
          <w:sz w:val="28"/>
          <w:szCs w:val="28"/>
          <w:lang w:eastAsia="zh-CN"/>
        </w:rPr>
        <w:t xml:space="preserve">. 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lastRenderedPageBreak/>
        <w:t>В городе Югорске созданы условия для укрепления здоровья югорчан посредством комплексной системы медицинской помощи и единой профилактической среды.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zh-CN"/>
        </w:rPr>
        <w:t>Формирование системы мотивации граждан к здоровому образу жизни, включая здоровое питание и отказ от вредных привычек, создание для всех категорий и групп населения условий для занятий физической культурой и спортом,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обеспечение гра</w:t>
      </w:r>
      <w:r>
        <w:rPr>
          <w:rFonts w:eastAsia="Calibri"/>
          <w:sz w:val="28"/>
          <w:szCs w:val="28"/>
          <w:lang w:eastAsia="zh-CN"/>
        </w:rPr>
        <w:t>ждан качественными</w:t>
      </w:r>
      <w:r w:rsidRPr="007E1256">
        <w:rPr>
          <w:rFonts w:eastAsia="Calibri"/>
          <w:sz w:val="28"/>
          <w:szCs w:val="28"/>
          <w:lang w:eastAsia="zh-CN"/>
        </w:rPr>
        <w:t xml:space="preserve"> и безопасными лекарственными средствами, будет способствовать увеличению ожидаемой продолжительности жизни при рождении на протяжении всего прогнозируемого периода.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В долгосрочной перспективе будет сохраняться положительное сальдо миграционного движения населения. Предполагается, что ежегодный миграционный прирост населения будет осуществляться за счет граждан трудоспособного возраста, которые по разным причинам приезжают и трудоустраиваются в организации города Югорска.</w:t>
      </w:r>
    </w:p>
    <w:p w:rsid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Основной задачей в регулировании миграционных потоков является недопущение напряженности на местном рынке труда.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Стратегической целью демографической политики в</w:t>
      </w:r>
      <w:r>
        <w:rPr>
          <w:sz w:val="28"/>
          <w:szCs w:val="28"/>
          <w:lang w:eastAsia="ru-RU"/>
        </w:rPr>
        <w:t xml:space="preserve"> городе Югорске, как и в целом</w:t>
      </w:r>
      <w:r w:rsidRPr="007E1256">
        <w:rPr>
          <w:sz w:val="28"/>
          <w:szCs w:val="28"/>
          <w:lang w:eastAsia="ru-RU"/>
        </w:rPr>
        <w:t xml:space="preserve"> 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Инвестиции в основной капитал</w:t>
      </w:r>
    </w:p>
    <w:p w:rsidR="007E1256" w:rsidRPr="007E1256" w:rsidRDefault="007E1256" w:rsidP="007E1256">
      <w:pPr>
        <w:spacing w:after="0"/>
        <w:jc w:val="both"/>
        <w:rPr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Деятельность органов местного самоуправления по привлечению и наиболее эффективному использованию средств, вкладываемых на территории </w:t>
      </w:r>
      <w:r w:rsidRPr="007E1256">
        <w:rPr>
          <w:sz w:val="28"/>
          <w:szCs w:val="28"/>
          <w:lang w:eastAsia="ru-RU"/>
        </w:rPr>
        <w:t>города Югорска</w:t>
      </w:r>
      <w:r w:rsidRPr="007E1256">
        <w:rPr>
          <w:sz w:val="28"/>
          <w:szCs w:val="28"/>
        </w:rPr>
        <w:t>, составляет суть муниципальной</w:t>
      </w:r>
      <w:r>
        <w:rPr>
          <w:sz w:val="28"/>
          <w:szCs w:val="28"/>
        </w:rPr>
        <w:t xml:space="preserve"> </w:t>
      </w:r>
      <w:hyperlink r:id="rId9" w:history="1">
        <w:r w:rsidRPr="007E1256">
          <w:rPr>
            <w:rStyle w:val="a9"/>
            <w:color w:val="auto"/>
            <w:sz w:val="28"/>
            <w:szCs w:val="28"/>
            <w:u w:val="none"/>
          </w:rPr>
          <w:t>инвестиционной политики</w:t>
        </w:r>
      </w:hyperlink>
      <w:r w:rsidRPr="007E1256">
        <w:rPr>
          <w:sz w:val="28"/>
          <w:szCs w:val="28"/>
        </w:rPr>
        <w:t>.</w:t>
      </w:r>
    </w:p>
    <w:p w:rsidR="007E1256" w:rsidRPr="007E1256" w:rsidRDefault="007E1256" w:rsidP="007E1256">
      <w:pPr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Основная цель </w:t>
      </w:r>
      <w:r w:rsidRPr="007E1256">
        <w:rPr>
          <w:sz w:val="28"/>
          <w:szCs w:val="28"/>
        </w:rPr>
        <w:t>муниципальной</w:t>
      </w:r>
      <w:r w:rsidRPr="007E1256">
        <w:rPr>
          <w:sz w:val="28"/>
          <w:szCs w:val="28"/>
          <w:lang w:eastAsia="ru-RU"/>
        </w:rPr>
        <w:t xml:space="preserve"> инвестиционной политики в прогнозном периоде - создание максимально комфортных условий для старта и ведения бизнес-проектов, а также формирование эффективной системы привлечения инвестиций.</w:t>
      </w:r>
    </w:p>
    <w:p w:rsidR="007E1256" w:rsidRPr="007E1256" w:rsidRDefault="007E1256" w:rsidP="007E1256">
      <w:pPr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7E1256">
        <w:rPr>
          <w:bCs/>
          <w:sz w:val="28"/>
          <w:szCs w:val="28"/>
          <w:lang w:eastAsia="ru-RU"/>
        </w:rPr>
        <w:t xml:space="preserve">Основными задачами органов местного самоуправления в развитии инвестиционной сферы будут являться формирование эффективной системы поддержки инвестиционных проектов, предусматривающей существенное сокращение сроков и упрощение процедур предоставления земельных </w:t>
      </w:r>
      <w:r w:rsidRPr="007E1256">
        <w:rPr>
          <w:bCs/>
          <w:sz w:val="28"/>
          <w:szCs w:val="28"/>
          <w:lang w:eastAsia="ru-RU"/>
        </w:rPr>
        <w:lastRenderedPageBreak/>
        <w:t>участков для реализации инвестиционных проектов, иных согласительных и разрешительных процедур по отношению к инвесторам. Кроме того, важным направлением для улучшения общего инвестиционного климата территории является развитие доступной для размещений производственных и иных объектов инфраструктуры.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На долгосрочный период определены следующие инвестиционные приоритеты:  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bCs/>
          <w:sz w:val="28"/>
          <w:szCs w:val="28"/>
          <w:lang w:eastAsia="ru-RU"/>
        </w:rPr>
        <w:t xml:space="preserve">- развитие обрабатывающих производств: содействие </w:t>
      </w:r>
      <w:r w:rsidRPr="007E1256">
        <w:rPr>
          <w:sz w:val="28"/>
          <w:szCs w:val="28"/>
        </w:rPr>
        <w:t>развитию лесоперерабатывающей промышленности, реализации проектов по производству инновационных строительных материалов</w:t>
      </w:r>
      <w:r w:rsidRPr="007E1256">
        <w:rPr>
          <w:bCs/>
          <w:sz w:val="28"/>
          <w:szCs w:val="28"/>
          <w:lang w:eastAsia="ru-RU"/>
        </w:rPr>
        <w:t>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- развитие дорожно-транспортной инфраструктуры: создание условий для устойчивого развития сети автомобильных дорог местного значения, обеспечивающих повышение доступности и безопасности транспортных услуг (строительство, реконструкция и капитальный ремонт автомобильных дорог, реконструкция объездной автомобильной дороги); формирования на территории города транспортно-логистического центра;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- комплексная модернизация коммунальной инфраструктуры: внедрение малоэнергоемких технологий и энергоэффективных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энергии; создание условий для развития экологической промышленности, включая модернизацию полигона твердых коммунальных отходов;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- создание условий для развития агропромышленного комплекса, стимулирование развития малых форм хозяйствования (крестьянских (фермерских) хозяйств) с целью увеличения объемов производства продукции животноводства, в дальнейшем, при наличии возможных производителей, развития тепличных хозяйств, расширения ассортимента; 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- создание условий для развития событийного, спортивного, этнографического, экологического, экстремального, историко-познавательного, делового туризма; 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- строительство и реконструкция объектов социальной сферы.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sz w:val="28"/>
          <w:szCs w:val="28"/>
        </w:rPr>
        <w:t xml:space="preserve">Точками роста социально-экономического развития города Югорска могут стать следующие проекты: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sz w:val="28"/>
          <w:szCs w:val="28"/>
          <w:lang w:eastAsia="ru-RU"/>
        </w:rPr>
        <w:t>- «</w:t>
      </w:r>
      <w:r w:rsidRPr="007E1256">
        <w:rPr>
          <w:rFonts w:eastAsia="Calibri"/>
          <w:sz w:val="28"/>
          <w:szCs w:val="28"/>
        </w:rPr>
        <w:t>Создание индустриального парка на территории города Югорска».</w:t>
      </w:r>
      <w:r w:rsidRPr="007E1256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 </w:t>
      </w:r>
      <w:r w:rsidRPr="007E1256">
        <w:rPr>
          <w:rFonts w:eastAsia="Calibri"/>
          <w:sz w:val="28"/>
          <w:szCs w:val="28"/>
        </w:rPr>
        <w:t xml:space="preserve">В результате реализации проекта может появиться комплекс с готовыми производственными, офисными и складскими площадями, развитой инфраструктурой и необходимыми коммуникациями. Потенциальными резидентами парка могут быть производственные компании малого и </w:t>
      </w:r>
      <w:r w:rsidRPr="007E1256">
        <w:rPr>
          <w:rFonts w:eastAsia="Calibri"/>
          <w:sz w:val="28"/>
          <w:szCs w:val="28"/>
        </w:rPr>
        <w:lastRenderedPageBreak/>
        <w:t xml:space="preserve">среднего бизнеса, транспортно-логистические компании, торговля, строительные организации; 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- «Модернизация лесоперерабатывающего производства о</w:t>
      </w:r>
      <w:r w:rsidRPr="007E1256">
        <w:rPr>
          <w:rFonts w:eastAsia="Calibri"/>
          <w:sz w:val="28"/>
          <w:szCs w:val="28"/>
        </w:rPr>
        <w:t>бщества с ограниченной ответственностью</w:t>
      </w:r>
      <w:r w:rsidRPr="007E1256">
        <w:rPr>
          <w:sz w:val="28"/>
          <w:szCs w:val="28"/>
          <w:lang w:eastAsia="ru-RU"/>
        </w:rPr>
        <w:t xml:space="preserve"> «Тайга»» (глубокая переработка древесины, отходов лесопромышленного производства);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- «Музейно-туристический ком</w:t>
      </w:r>
      <w:r>
        <w:rPr>
          <w:sz w:val="28"/>
          <w:szCs w:val="28"/>
          <w:lang w:eastAsia="ru-RU"/>
        </w:rPr>
        <w:t>плекс</w:t>
      </w:r>
      <w:r w:rsidRPr="007E1256">
        <w:rPr>
          <w:sz w:val="28"/>
          <w:szCs w:val="28"/>
          <w:lang w:eastAsia="ru-RU"/>
        </w:rPr>
        <w:t xml:space="preserve"> «Ворота в Югру» на территории музея под открытым небом «Суеват-пауль».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sz w:val="28"/>
          <w:szCs w:val="28"/>
        </w:rPr>
        <w:t xml:space="preserve">Важным направлением инвестиционной политики органов местного самоуправления является работа по включению инвестиционных проектов, необходимых для жизнеобеспечения </w:t>
      </w:r>
      <w:r w:rsidRPr="007E1256">
        <w:rPr>
          <w:sz w:val="28"/>
          <w:szCs w:val="28"/>
          <w:lang w:eastAsia="ru-RU"/>
        </w:rPr>
        <w:t>города Югорска</w:t>
      </w:r>
      <w:r w:rsidRPr="007E1256">
        <w:rPr>
          <w:sz w:val="28"/>
          <w:szCs w:val="28"/>
        </w:rPr>
        <w:t xml:space="preserve">, в государственные программы. Эта работа особенно актуальна для таких сфер, как снос ветхого жилья, коммунальная энергетика, социальная сфера. Мероприятия государственных программ финансируются из бюджетов нескольких уровней на основе долевого участия.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Стратегической целью государственной жилищной политики, реализуемой на территории города Югорска, является обеспечение доступности жильем для всех категорий граждан, с акцентированием внимания на обеспечение жильем малоимущих граждан, многодетных семей и других отдельных категорий, сокращение доли аварийного и ветхого жилья. 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Существует необходимость дополнительного создания учебных </w:t>
      </w:r>
      <w:r>
        <w:rPr>
          <w:sz w:val="28"/>
          <w:szCs w:val="28"/>
        </w:rPr>
        <w:t xml:space="preserve">      </w:t>
      </w:r>
      <w:r w:rsidRPr="007E1256">
        <w:rPr>
          <w:sz w:val="28"/>
          <w:szCs w:val="28"/>
        </w:rPr>
        <w:t>мест для перехода в односменный режим работы общеобразовательных учреждений. В перспективе планируется строительство общеобразовательной школы на 1000 мест.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</w:rPr>
        <w:t xml:space="preserve">Реализация приоритетного национального проекта «Развитие малого и среднего предпринимательства» на территории </w:t>
      </w:r>
      <w:r w:rsidRPr="007E1256">
        <w:rPr>
          <w:sz w:val="28"/>
          <w:szCs w:val="28"/>
          <w:lang w:eastAsia="ru-RU"/>
        </w:rPr>
        <w:t>города Югорска</w:t>
      </w:r>
      <w:r w:rsidRPr="007E1256">
        <w:rPr>
          <w:sz w:val="28"/>
          <w:szCs w:val="28"/>
        </w:rPr>
        <w:t xml:space="preserve"> будет способствовать созданию благоприятных условий для предпринимательской деятельности, </w:t>
      </w:r>
      <w:r w:rsidRPr="007E1256">
        <w:rPr>
          <w:sz w:val="28"/>
          <w:szCs w:val="28"/>
          <w:lang w:eastAsia="ru-RU"/>
        </w:rPr>
        <w:t>организация новых и развитие существующих предприятий малого и среднего бизнеса и, соответственно, увеличению частных инвестиций в экономику города.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Начиная с 2023 года, градообразующим предприятием обществом </w:t>
      </w:r>
      <w:r>
        <w:rPr>
          <w:sz w:val="28"/>
          <w:szCs w:val="28"/>
        </w:rPr>
        <w:t xml:space="preserve">         </w:t>
      </w:r>
      <w:r w:rsidRPr="007E1256">
        <w:rPr>
          <w:sz w:val="28"/>
          <w:szCs w:val="28"/>
        </w:rPr>
        <w:t>с ограниченной ответственностью «Газпром трансгаз Югорск» (далее -</w:t>
      </w:r>
      <w:r>
        <w:rPr>
          <w:sz w:val="28"/>
          <w:szCs w:val="28"/>
        </w:rPr>
        <w:t xml:space="preserve">    </w:t>
      </w:r>
      <w:r w:rsidRPr="007E1256">
        <w:rPr>
          <w:sz w:val="28"/>
          <w:szCs w:val="28"/>
        </w:rPr>
        <w:t xml:space="preserve"> ООО «Газпром трансгаз Югорск») планируется значительно увеличить финансирование на обновление производственных фондов по сравнению с предыдущим периодом. </w:t>
      </w:r>
    </w:p>
    <w:p w:rsidR="007E1256" w:rsidRPr="007E1256" w:rsidRDefault="007E1256" w:rsidP="007E1256">
      <w:pPr>
        <w:tabs>
          <w:tab w:val="left" w:pos="851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В долгосрочном прогнозе заложен равномерный прирост объемов инвестиций в основной капитал.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bCs/>
          <w:sz w:val="28"/>
          <w:szCs w:val="28"/>
          <w:lang w:eastAsia="ru-RU"/>
        </w:rPr>
        <w:t xml:space="preserve">Динамика инвестиций в основной капитал в долгосрочном периоде будет определяться объемами средств предприятий, направляемых на </w:t>
      </w:r>
      <w:r w:rsidRPr="007E1256">
        <w:rPr>
          <w:bCs/>
          <w:sz w:val="28"/>
          <w:szCs w:val="28"/>
          <w:lang w:eastAsia="ru-RU"/>
        </w:rPr>
        <w:lastRenderedPageBreak/>
        <w:t xml:space="preserve">модернизацию и развитие производства, а также бюджетными капитальными вложениями в инфраструктурные объекты, отрасли, связанные с развитием человеческого капитала, жилищное строительство.  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  <w:highlight w:val="yellow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Рынок труда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Ситуация на рынке труда определяется демографическими тенденциями, деятельностью крупных и средних предприятий города,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Преобладающая часть занятого населения сосредоточена в крупных и средних предприятиях города, одним из которых является градообразующее предприятие – ООО «Газпром трансгаз Югорск», обеспечивающее стабильность и сохранение рабочих мест.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и местном рынке труда, может стать одним из направлений, обеспечивающих снижение уровня безработицы за счет выпускников учебных заведений профессионального образования. 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>В связи с этим задача в прогнозный период - создать условия на рынке труда и образовательных услуг, при которых минимизировать негативные процессы от возможного роста безработицы, вызванные технической модернизацией организаций, их перепрофилированием, а также повышением пенсионного возраста.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 xml:space="preserve">Решение этой задачи - своевременная подготовка (переподготовка) высококвалифицированных специалистов, востребованных субъектами экономической деятельности города Югорска. 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 xml:space="preserve">К оказанию гражданам услуг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по организации сопровождения при содействии занятости инвалидов и по самозанятости, </w:t>
      </w:r>
      <w:r>
        <w:rPr>
          <w:rFonts w:eastAsia="Calibri"/>
          <w:sz w:val="28"/>
          <w:szCs w:val="28"/>
          <w:lang w:eastAsia="zh-CN"/>
        </w:rPr>
        <w:t xml:space="preserve">                </w:t>
      </w:r>
      <w:r w:rsidRPr="007E1256">
        <w:rPr>
          <w:rFonts w:eastAsia="Calibri"/>
          <w:sz w:val="28"/>
          <w:szCs w:val="28"/>
          <w:lang w:eastAsia="zh-CN"/>
        </w:rPr>
        <w:t>а также по организации ярмарок вакансий и учебных рабочих мест планируется привлекать негосударственных поставщиков, в том числе и социально ориентированные некоммерческие организации.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lastRenderedPageBreak/>
        <w:t xml:space="preserve">Развитие рынка труда в долгосрочной перспективе будет направлено на увеличение занятости населения, путем создания новых рабочих через реализацию инвестиционных проектов, включая сектор малого и среднего предпринимательства.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Снижение уровня безработицы будет происходить за счет повышения активности населения в самостоятельном поиске работы, проявления предпринимательской инициативы по открытию собственного дела, создания новых рабочих мест в действующих организациях.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rFonts w:eastAsia="Calibri"/>
          <w:sz w:val="28"/>
          <w:szCs w:val="28"/>
        </w:rPr>
        <w:t>Стратегической целью в области развития рынка труда в долгосрочной перспективе является создание условий для обеспечения экономики высокопрофессиональными кадрами и повышения эффективности их использования. Важнейшим условием в реализации данных целей станет сбалансированность местного рынка труда и создание условий для профессиональной и территориальной мобильности населения.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Денежные доходы населения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Важнейшим показателем благосостояния общества служит уровень доходов населения.   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>Рост доходов населения будет обеспечиваться, прежде всего, доходами от занятости населения, предпринимательской деятельности и иных социальных выплат.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В структуре доходов заработная плата является основным источником доходов населения.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На протяжении ряда лет отмечается стабильный рост заработной </w:t>
      </w:r>
      <w:r>
        <w:rPr>
          <w:rFonts w:eastAsia="Calibri"/>
          <w:sz w:val="28"/>
          <w:szCs w:val="28"/>
        </w:rPr>
        <w:t xml:space="preserve"> </w:t>
      </w:r>
      <w:r w:rsidRPr="007E1256">
        <w:rPr>
          <w:rFonts w:eastAsia="Calibri"/>
          <w:sz w:val="28"/>
          <w:szCs w:val="28"/>
        </w:rPr>
        <w:t xml:space="preserve">платы работников крупных и средних предприятий и организаций города Югорска. Среднемесячная номинальная начисленная заработная плата работников крупных и средних организаций города выше среднего значения по Ханты-Мансийскому автономному округу - Югре. </w:t>
      </w:r>
    </w:p>
    <w:p w:rsidR="007E1256" w:rsidRPr="007E1256" w:rsidRDefault="007E1256" w:rsidP="007E1256">
      <w:pPr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sz w:val="28"/>
          <w:szCs w:val="28"/>
          <w:lang w:eastAsia="zh-CN"/>
        </w:rPr>
        <w:t>В долгосрочной перспективе повышению реальных располагаемых денежных доходов населения будет способствовать устойчивый экономический рост, увеличение трудовых доходов граждан, низкий уровень инфляции, а также динамика изменения численности работающего населения, которая в базовом варианте с 2023 года будет иметь тенденцию роста.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 xml:space="preserve">Росту доходов населения и снижению уровня бедности в долгосрочной перспективе будут способствовать: </w:t>
      </w:r>
    </w:p>
    <w:p w:rsidR="007E1256" w:rsidRPr="007E1256" w:rsidRDefault="007E1256" w:rsidP="007E1256">
      <w:pPr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>- создание высокопроизводительных рабочих мест;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>- система дополнительного пенсионного обеспечения;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lastRenderedPageBreak/>
        <w:t xml:space="preserve">- совершенствование механизмов адресной социальной защиты и системы социального обслуживания граждан; 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 xml:space="preserve">- предоставление гражданам пособий, выплат и других мер социальной поддержки, предусмотренных законодательством; 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 xml:space="preserve">- ежегодная индексация социальных выплат с учетом уровня инфляции; 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>- развитие практики применения социального контракта, предусматривающего взаимные обязательства государства и получателей социальной помощи.</w:t>
      </w:r>
    </w:p>
    <w:p w:rsidR="007E1256" w:rsidRPr="007E1256" w:rsidRDefault="007E1256" w:rsidP="007E1256">
      <w:pPr>
        <w:spacing w:after="0"/>
        <w:ind w:firstLine="709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Промышленность</w:t>
      </w:r>
    </w:p>
    <w:p w:rsidR="007E1256" w:rsidRPr="007E1256" w:rsidRDefault="007E1256" w:rsidP="007E1256">
      <w:pPr>
        <w:spacing w:after="0"/>
        <w:ind w:firstLine="709"/>
        <w:jc w:val="center"/>
        <w:rPr>
          <w:b/>
          <w:bCs/>
          <w:sz w:val="28"/>
          <w:szCs w:val="28"/>
        </w:rPr>
      </w:pPr>
    </w:p>
    <w:p w:rsidR="007E1256" w:rsidRDefault="007E1256" w:rsidP="007E1256">
      <w:pPr>
        <w:pStyle w:val="a5"/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1256">
        <w:rPr>
          <w:rFonts w:ascii="PT Astra Serif" w:hAnsi="PT Astra Serif"/>
          <w:sz w:val="28"/>
          <w:szCs w:val="28"/>
        </w:rPr>
        <w:t xml:space="preserve">Территорию </w:t>
      </w:r>
      <w:r w:rsidRPr="007E1256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Pr="007E1256">
        <w:rPr>
          <w:rFonts w:ascii="PT Astra Serif" w:hAnsi="PT Astra Serif"/>
          <w:sz w:val="28"/>
          <w:szCs w:val="28"/>
        </w:rPr>
        <w:t xml:space="preserve"> отличает довольно низкая диверсификация обрабатывающих производств (промышленное производство) - индикатор развития любой территории.</w:t>
      </w:r>
    </w:p>
    <w:p w:rsidR="007E1256" w:rsidRDefault="007E1256" w:rsidP="007E1256">
      <w:pPr>
        <w:pStyle w:val="a5"/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1256">
        <w:rPr>
          <w:rFonts w:ascii="PT Astra Serif" w:hAnsi="PT Astra Serif"/>
          <w:sz w:val="28"/>
          <w:szCs w:val="28"/>
        </w:rPr>
        <w:t>В структуре промышленного производства крупные и средние обрабатывающие предприятия осуществляют услуги по ремонту и монтажу машин и оборудования и занимаются производством пищевой продукции. Сектор обрабатывающего производства составляет порядка 65,6% от общего объема промышленной продукции. Остальная часть приходится на обеспечение энергоресурсами населения, оказание услуг по водоснабжению, водоо</w:t>
      </w:r>
      <w:r>
        <w:rPr>
          <w:rFonts w:ascii="PT Astra Serif" w:hAnsi="PT Astra Serif"/>
          <w:sz w:val="28"/>
          <w:szCs w:val="28"/>
        </w:rPr>
        <w:t>тведению.</w:t>
      </w:r>
    </w:p>
    <w:p w:rsidR="007E1256" w:rsidRDefault="007E1256" w:rsidP="007E1256">
      <w:pPr>
        <w:pStyle w:val="a5"/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1256">
        <w:rPr>
          <w:rFonts w:ascii="PT Astra Serif" w:hAnsi="PT Astra Serif"/>
          <w:sz w:val="28"/>
          <w:szCs w:val="28"/>
        </w:rPr>
        <w:t>В прогнозном периоде, в целом предполагается сохранение достигнутых объемов производства и реализации продукции и услуг промышленного характера, а при благоприятных условиях - рост пок</w:t>
      </w:r>
      <w:r>
        <w:rPr>
          <w:rFonts w:ascii="PT Astra Serif" w:hAnsi="PT Astra Serif"/>
          <w:sz w:val="28"/>
          <w:szCs w:val="28"/>
        </w:rPr>
        <w:t>азателей имеющихся производств.</w:t>
      </w:r>
    </w:p>
    <w:p w:rsidR="007E1256" w:rsidRPr="007E1256" w:rsidRDefault="007E1256" w:rsidP="007E1256">
      <w:pPr>
        <w:pStyle w:val="a5"/>
        <w:spacing w:line="276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7E1256">
        <w:rPr>
          <w:rFonts w:ascii="PT Astra Serif" w:hAnsi="PT Astra Serif"/>
          <w:sz w:val="28"/>
          <w:szCs w:val="28"/>
        </w:rPr>
        <w:t xml:space="preserve">Несмотря на то, что в общем объеме отгруженных товаров собственного производства, выполненных работ и услуг по основным видам экономической деятельности доля объема промышленного производства незначительна, развитие промышленного сектора на долгосрочную перспективу является одним из приоритетных направлений социально-экономического развития </w:t>
      </w:r>
      <w:r w:rsidRPr="007E1256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Pr="007E1256">
        <w:rPr>
          <w:rFonts w:ascii="PT Astra Serif" w:hAnsi="PT Astra Serif"/>
          <w:sz w:val="28"/>
          <w:szCs w:val="28"/>
        </w:rPr>
        <w:t>. Данный сектор экономики позволяет обеспечить стабильное развитие территории, предполагает сохранение и создание новых квалифицированных рабочих мест, тем самым вносит большой вклад в общее социально-экономическое развитие города.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 xml:space="preserve">В объеме промышленного производства сектор малого предпринимательства представлен, в основном, двумя направлениями: деревообработкой и производством продуктов питания.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sz w:val="28"/>
          <w:szCs w:val="28"/>
        </w:rPr>
        <w:lastRenderedPageBreak/>
        <w:t xml:space="preserve">Дальнейшее развитие промышленного производства возможно за счет привлечения в данную сферу частных инвесторов, развития малого и среднего предпринимательства.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Перспективными направлениями могут стать: реализация проектов по производству инновационных строительных материалов и внедрению инновационных технологий строительства, организация производства битума для дорожного строительства, лесопереработка, строительство мусороперерабатывающего завода, развитие пищевой промышленности, увеличение ассортимента выпускаемой продукции, возможно, развитие торфодобычи, добычи песка.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Новая промышленная политика Ханты-Мансийского автономного округа - Югры опирается на зональные закономерности развития: для города Югорска, относящегося к староосвоенной зоне, актуальными являются поддержка интеллектуального производственного и сервисного бизнеса всех размеров (с акцентом на развитие производств обрабатывающей и перерабатывающей промышленности нового типа), и их «уплотнения»/концентрации на площадках индустриальных парков.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>Оказание государственной поддержки обрабатывающих отраслей промышленности путем реализации финансовых, имущественных и институциональных мер должно стать одним из основных механизмов повышения конкурентоспособности промышленного производства.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E1256">
        <w:rPr>
          <w:rFonts w:eastAsia="Calibri"/>
          <w:sz w:val="28"/>
          <w:szCs w:val="28"/>
          <w:lang w:eastAsia="zh-CN"/>
        </w:rPr>
        <w:t xml:space="preserve"> </w:t>
      </w:r>
    </w:p>
    <w:p w:rsidR="007E1256" w:rsidRPr="007E1256" w:rsidRDefault="007E1256" w:rsidP="007E1256">
      <w:pPr>
        <w:spacing w:after="0"/>
        <w:jc w:val="center"/>
        <w:rPr>
          <w:b/>
          <w:bCs/>
          <w:sz w:val="28"/>
          <w:szCs w:val="28"/>
        </w:rPr>
      </w:pPr>
      <w:r w:rsidRPr="007E1256">
        <w:rPr>
          <w:b/>
          <w:bCs/>
          <w:sz w:val="28"/>
          <w:szCs w:val="28"/>
        </w:rPr>
        <w:t>Социальная сфера</w:t>
      </w:r>
    </w:p>
    <w:p w:rsidR="007E1256" w:rsidRPr="007E1256" w:rsidRDefault="007E1256" w:rsidP="007E1256">
      <w:pPr>
        <w:spacing w:after="0"/>
        <w:ind w:firstLine="709"/>
        <w:jc w:val="center"/>
        <w:rPr>
          <w:b/>
          <w:bCs/>
          <w:sz w:val="28"/>
          <w:szCs w:val="28"/>
        </w:rPr>
      </w:pP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Создание условий для повышения конкурентоспособности человеческого капитала является основным приоритетом развития социальной сферы в прогнозном периоде.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Приоритетные меры по развитию социальной сферы, задачи государственной политики, а также ключевые принципы ее реализации предусмотрены в документах стратегического планирования федерального, окружного, муниципального уровня, национальных проектах.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Основной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rFonts w:eastAsia="Batang"/>
          <w:sz w:val="28"/>
          <w:szCs w:val="28"/>
          <w:lang w:eastAsia="zh-CN"/>
        </w:rPr>
        <w:t xml:space="preserve">Основным инструментом достижения целей станет участие в реализации региональных проектов: 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Batang"/>
          <w:sz w:val="28"/>
          <w:szCs w:val="28"/>
          <w:lang w:eastAsia="zh-CN"/>
        </w:rPr>
      </w:pPr>
      <w:r w:rsidRPr="007E1256">
        <w:rPr>
          <w:rFonts w:eastAsia="Batang"/>
          <w:sz w:val="28"/>
          <w:szCs w:val="28"/>
          <w:lang w:eastAsia="zh-CN"/>
        </w:rPr>
        <w:t xml:space="preserve">- проект «Современная школа» направлен на внедрение на уровнях основного общего и среднего общего образования новых методов обучения и </w:t>
      </w:r>
      <w:r w:rsidRPr="007E1256">
        <w:rPr>
          <w:rFonts w:eastAsia="Batang"/>
          <w:sz w:val="28"/>
          <w:szCs w:val="28"/>
          <w:lang w:eastAsia="zh-CN"/>
        </w:rPr>
        <w:lastRenderedPageBreak/>
        <w:t>воспитания, образовательных технологий, обеспечивающих повышение мотивации к обучению, вовлеченности в образовательный процесс и позволит каждому ребенку получить качественное современное образование;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Batang"/>
          <w:sz w:val="28"/>
          <w:szCs w:val="28"/>
          <w:lang w:eastAsia="zh-CN"/>
        </w:rPr>
      </w:pPr>
      <w:r w:rsidRPr="007E1256">
        <w:rPr>
          <w:rFonts w:eastAsia="Batang"/>
          <w:sz w:val="28"/>
          <w:szCs w:val="28"/>
          <w:lang w:eastAsia="zh-CN"/>
        </w:rPr>
        <w:t>- 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развития, способствующих раскрытию талантов и способностей каждого ребенка - задача проекта «Успех каждого ребенка». Благодаря «Сертификату дополнительного образования детей» в реализацию программ открытого образования включаются негосударственные организации, осуществляющие образовательную деятельность.</w:t>
      </w:r>
      <w:r w:rsidRPr="007E1256">
        <w:rPr>
          <w:rFonts w:eastAsia="Calibri"/>
          <w:sz w:val="28"/>
          <w:szCs w:val="28"/>
        </w:rPr>
        <w:t xml:space="preserve"> Развитие ранней профориентации ребенка, внедрение индивидуальных учебных планов в соответствии с профессиональными предпочтениями – еще одно направление данного проекта</w:t>
      </w:r>
      <w:r w:rsidRPr="007E1256">
        <w:rPr>
          <w:rFonts w:eastAsia="Batang"/>
          <w:sz w:val="28"/>
          <w:szCs w:val="28"/>
          <w:lang w:eastAsia="zh-CN"/>
        </w:rPr>
        <w:t>;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Batang"/>
          <w:sz w:val="28"/>
          <w:szCs w:val="28"/>
          <w:lang w:eastAsia="zh-CN"/>
        </w:rPr>
      </w:pPr>
      <w:r w:rsidRPr="007E1256">
        <w:rPr>
          <w:rFonts w:eastAsia="Batang"/>
          <w:sz w:val="28"/>
          <w:szCs w:val="28"/>
          <w:lang w:eastAsia="zh-CN"/>
        </w:rPr>
        <w:t>- в ходе реализации проекта «Цифровая образовательная среда» все образовательные учреждения города Югорска, будут обеспечены стабильным и быстрым интернет-соединением. Планируется внедрение единой цифровой образовательной платформы, обеспечивающей цифровизацию управления сферой образования, повышение ее открытости;</w:t>
      </w:r>
    </w:p>
    <w:p w:rsidR="007E1256" w:rsidRPr="007E1256" w:rsidRDefault="007E1256" w:rsidP="007E1256">
      <w:pPr>
        <w:widowControl w:val="0"/>
        <w:autoSpaceDE w:val="0"/>
        <w:spacing w:after="0"/>
        <w:ind w:firstLine="709"/>
        <w:jc w:val="both"/>
        <w:rPr>
          <w:rFonts w:eastAsia="Batang"/>
          <w:sz w:val="28"/>
          <w:szCs w:val="28"/>
          <w:lang w:eastAsia="zh-CN"/>
        </w:rPr>
      </w:pPr>
      <w:r w:rsidRPr="007E1256">
        <w:rPr>
          <w:rFonts w:eastAsia="Batang"/>
          <w:sz w:val="28"/>
          <w:szCs w:val="28"/>
          <w:lang w:eastAsia="zh-CN"/>
        </w:rPr>
        <w:t xml:space="preserve">- мероприятия проекта «Содействие занятости женщин - создание условий дошкольного образования для детей в возрасте до трех лет» направлены на удовлетворение спроса населения в дошкольном образовании.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>В прогнозном периоде в целях повышения качества и результативности образования, успешной социализации детей и молодежи планируется обеспечить модернизацию программ в системах общего и дополнительного образования детей, оснащение материально-технической базы образовательных учреждений в соответствии с требованиями федеральных государственных стандартов образования, увеличение охвата детей дополнительным образованием, создание новых мест в общеобразовательных учреждениях.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7E1256">
        <w:rPr>
          <w:sz w:val="28"/>
          <w:szCs w:val="28"/>
          <w:lang w:eastAsia="ru-RU"/>
        </w:rPr>
        <w:t xml:space="preserve">Продолжится реализация плана основных мероприятий в рамках проведения «Десятилетия детства». Президент Российской Федерации выделил задачу воспитания гармонично развитой и социально ответственной личности как приоритетную. В образовательных учреждениях реализуются современные подходы к воспитанию и гражданскому образованию, профилактике экстремизма в школьной среде, создана система воспитательной работы с учетом традиций учреждения. Город располагает уникальными воспитательными практиками кадетского образования, основанными на использовании исторического опыта, его переосмыслении и </w:t>
      </w:r>
      <w:r w:rsidRPr="007E1256">
        <w:rPr>
          <w:sz w:val="28"/>
          <w:szCs w:val="28"/>
          <w:lang w:eastAsia="ru-RU"/>
        </w:rPr>
        <w:lastRenderedPageBreak/>
        <w:t>применении. В центре патриотического воспитания «Доблесть»,</w:t>
      </w:r>
      <w:r>
        <w:rPr>
          <w:sz w:val="28"/>
          <w:szCs w:val="28"/>
          <w:lang w:eastAsia="ru-RU"/>
        </w:rPr>
        <w:t xml:space="preserve">    </w:t>
      </w:r>
      <w:r w:rsidRPr="007E1256">
        <w:rPr>
          <w:sz w:val="28"/>
          <w:szCs w:val="28"/>
          <w:lang w:eastAsia="ru-RU"/>
        </w:rPr>
        <w:t xml:space="preserve"> созданного на базе муниципального бюджетного общеобразовательного учреждения «Средняя общеобразовательная школа № 2» с участием о</w:t>
      </w:r>
      <w:r w:rsidRPr="007E1256">
        <w:rPr>
          <w:rFonts w:eastAsia="Calibri"/>
          <w:sz w:val="28"/>
          <w:szCs w:val="28"/>
        </w:rPr>
        <w:t>бщества с ограниченной ответственностью</w:t>
      </w:r>
      <w:r w:rsidRPr="007E1256">
        <w:rPr>
          <w:sz w:val="28"/>
          <w:szCs w:val="28"/>
          <w:lang w:eastAsia="ru-RU"/>
        </w:rPr>
        <w:t xml:space="preserve"> «Газпром трансгаз Югорск» </w:t>
      </w:r>
      <w:r>
        <w:rPr>
          <w:sz w:val="28"/>
          <w:szCs w:val="28"/>
          <w:lang w:eastAsia="ru-RU"/>
        </w:rPr>
        <w:t xml:space="preserve">       </w:t>
      </w:r>
      <w:r w:rsidRPr="007E1256">
        <w:rPr>
          <w:sz w:val="28"/>
          <w:szCs w:val="28"/>
          <w:lang w:eastAsia="ru-RU"/>
        </w:rPr>
        <w:t>и 9-го отряда Фед</w:t>
      </w:r>
      <w:r>
        <w:rPr>
          <w:sz w:val="28"/>
          <w:szCs w:val="28"/>
          <w:lang w:eastAsia="ru-RU"/>
        </w:rPr>
        <w:t>еральной противопожарной службы</w:t>
      </w:r>
      <w:r w:rsidRPr="007E1256">
        <w:rPr>
          <w:sz w:val="28"/>
          <w:szCs w:val="28"/>
          <w:lang w:eastAsia="ru-RU"/>
        </w:rPr>
        <w:t xml:space="preserve"> по Ханты-Мансийскому автономному округу -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«Юнармия», создан штаб местного отделения.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Arial"/>
          <w:sz w:val="28"/>
          <w:szCs w:val="28"/>
        </w:rPr>
      </w:pPr>
      <w:r w:rsidRPr="007E1256">
        <w:rPr>
          <w:rFonts w:eastAsia="Arial"/>
          <w:sz w:val="28"/>
          <w:szCs w:val="28"/>
        </w:rPr>
        <w:t xml:space="preserve">В городе Югорске созданы условия для реализации творческих способностей молодых людей в самых различных направлениях молодежной культуры, сложилась качественная система развития социально-активной молодежи, которая находит поддержку среди учреждений и предприятий города, способствуют развитию гражданско-патриотических качеств молодежи. 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sz w:val="28"/>
          <w:szCs w:val="28"/>
          <w:lang w:eastAsia="ru-RU"/>
        </w:rPr>
        <w:t>Деятельность в сфере молодежной политики в городе Югорске будет направлена на</w:t>
      </w:r>
      <w:r w:rsidRPr="007E1256">
        <w:rPr>
          <w:rFonts w:eastAsia="Calibri"/>
          <w:sz w:val="28"/>
          <w:szCs w:val="28"/>
        </w:rPr>
        <w:t>: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- поддержку талантливой молодежи, молодежных инициатив;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- гражданское становление и патриотическое воспитание молодежи;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- пропаганду здорового образа жизни, организацию досуга молодежи;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- организацию временного трудоустройства;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Arial Unicode MS"/>
          <w:bCs/>
          <w:kern w:val="2"/>
          <w:sz w:val="28"/>
          <w:szCs w:val="28"/>
          <w:lang w:bidi="en-US"/>
        </w:rPr>
      </w:pPr>
      <w:r w:rsidRPr="007E1256">
        <w:rPr>
          <w:rFonts w:eastAsia="Arial Unicode MS"/>
          <w:bCs/>
          <w:kern w:val="2"/>
          <w:sz w:val="28"/>
          <w:szCs w:val="28"/>
          <w:lang w:bidi="en-US"/>
        </w:rPr>
        <w:t>- поддержку деятельности молодежных общественных объединений и волонтерского движения.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bCs/>
          <w:sz w:val="28"/>
          <w:szCs w:val="28"/>
        </w:rPr>
      </w:pPr>
      <w:r w:rsidRPr="007E1256">
        <w:rPr>
          <w:rFonts w:eastAsia="Calibri"/>
          <w:bCs/>
          <w:sz w:val="28"/>
          <w:szCs w:val="28"/>
        </w:rPr>
        <w:t xml:space="preserve">Реализация молодежной политики, </w:t>
      </w:r>
      <w:r w:rsidRPr="007E1256">
        <w:rPr>
          <w:rFonts w:eastAsia="Calibri"/>
          <w:sz w:val="28"/>
          <w:szCs w:val="28"/>
        </w:rPr>
        <w:t>предусматривающей формирование необходимых условий для конструктивного взаимодействия молодежи с институтами гражданского общества,</w:t>
      </w:r>
      <w:r w:rsidRPr="007E1256">
        <w:rPr>
          <w:rFonts w:eastAsia="Calibri"/>
          <w:bCs/>
          <w:sz w:val="28"/>
          <w:szCs w:val="28"/>
        </w:rPr>
        <w:t xml:space="preserve"> должна способствовать сохранению традиционных российских семейных ценностей и духовно-нравственного воспитания детей и молодежи.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Развитие системы отдыха и оздоровления детей представляет собой одно из важных направлений политики в социальной сфере.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реализацию функций контроля, информационное обеспечение                     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В прогнозном периоде продолжится работа по организации отдыха и оздоровления, как на базе учреждений, расположенных на территории города Ю</w:t>
      </w:r>
      <w:r w:rsidR="00ED4DE3">
        <w:rPr>
          <w:sz w:val="28"/>
          <w:szCs w:val="28"/>
        </w:rPr>
        <w:t xml:space="preserve">горска, так и за его пределами </w:t>
      </w:r>
      <w:r w:rsidRPr="007E1256">
        <w:rPr>
          <w:sz w:val="28"/>
          <w:szCs w:val="28"/>
        </w:rPr>
        <w:t xml:space="preserve">в климатически благоприятных зонах (детские оздоровительные лагеря).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lastRenderedPageBreak/>
        <w:t>Развитие сферы культуры в прогнозном периоде будет направлено на создание необходимых условий для реализации творческого потенциала населения, цифровизацию услуг и формирование информационного пространства, повышение качества и разнообразие услуг.</w:t>
      </w:r>
    </w:p>
    <w:p w:rsidR="007E1256" w:rsidRPr="007E1256" w:rsidRDefault="007E1256" w:rsidP="007E1256">
      <w:pPr>
        <w:spacing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</w:rPr>
        <w:t xml:space="preserve">Работа по модернизации и развитию учреждений и организаций культуры будет продолжена. Участие в региональном проекте </w:t>
      </w:r>
      <w:r w:rsidRPr="007E1256">
        <w:rPr>
          <w:color w:val="000000"/>
          <w:sz w:val="28"/>
          <w:szCs w:val="28"/>
          <w:lang w:eastAsia="ru-RU"/>
        </w:rPr>
        <w:t xml:space="preserve">«Культурная среда» позволит обеспечить качественно новый уровень развития инфраструктуры данной сферы, в том числе обновить материально-техническую базу учреждений дополнительного образования культуры за счет приобретения необходимых инструментов, оборудования и материалов.  </w:t>
      </w:r>
    </w:p>
    <w:p w:rsidR="007E1256" w:rsidRPr="007E1256" w:rsidRDefault="007E1256" w:rsidP="007E1256">
      <w:pPr>
        <w:widowControl w:val="0"/>
        <w:autoSpaceDE w:val="0"/>
        <w:autoSpaceDN w:val="0"/>
        <w:spacing w:after="0"/>
        <w:ind w:firstLine="709"/>
        <w:jc w:val="both"/>
        <w:rPr>
          <w:color w:val="000000"/>
          <w:sz w:val="28"/>
          <w:szCs w:val="28"/>
        </w:rPr>
      </w:pPr>
      <w:r w:rsidRPr="007E1256">
        <w:rPr>
          <w:color w:val="000000"/>
          <w:sz w:val="28"/>
          <w:szCs w:val="28"/>
          <w:lang w:eastAsia="ru-RU"/>
        </w:rPr>
        <w:t>Региональный проект «Творческие люди» предполага</w:t>
      </w:r>
      <w:r w:rsidR="00ED4DE3">
        <w:rPr>
          <w:color w:val="000000"/>
          <w:sz w:val="28"/>
          <w:szCs w:val="28"/>
          <w:lang w:eastAsia="ru-RU"/>
        </w:rPr>
        <w:t>ет поддержку талантливых детей</w:t>
      </w:r>
      <w:r w:rsidRPr="007E1256">
        <w:rPr>
          <w:color w:val="000000"/>
          <w:sz w:val="28"/>
          <w:szCs w:val="28"/>
          <w:lang w:eastAsia="ru-RU"/>
        </w:rPr>
        <w:t xml:space="preserve"> и молодежи, участие творческих коллективов в различных конкурсах,</w:t>
      </w:r>
      <w:r w:rsidRPr="007E1256">
        <w:rPr>
          <w:color w:val="000000"/>
          <w:sz w:val="28"/>
          <w:szCs w:val="28"/>
        </w:rPr>
        <w:t xml:space="preserve"> повышение квалификации работников отрасли культуры, в том числе на базе Центров непрерывного образования повышения квалификации творческих и управленческих кадров в сфере культуры, созданных на базе ведущих творческих ВУЗов.</w:t>
      </w:r>
    </w:p>
    <w:p w:rsidR="007E1256" w:rsidRPr="007E1256" w:rsidRDefault="007E1256" w:rsidP="007E1256">
      <w:pPr>
        <w:widowControl w:val="0"/>
        <w:autoSpaceDE w:val="0"/>
        <w:autoSpaceDN w:val="0"/>
        <w:spacing w:after="0"/>
        <w:ind w:firstLine="709"/>
        <w:jc w:val="both"/>
        <w:rPr>
          <w:color w:val="000000"/>
          <w:sz w:val="28"/>
          <w:szCs w:val="28"/>
        </w:rPr>
      </w:pPr>
      <w:r w:rsidRPr="007E1256">
        <w:rPr>
          <w:color w:val="000000"/>
          <w:sz w:val="28"/>
          <w:szCs w:val="28"/>
        </w:rPr>
        <w:t xml:space="preserve">Региональный проект </w:t>
      </w:r>
      <w:r w:rsidRPr="007E1256">
        <w:rPr>
          <w:color w:val="000000"/>
          <w:sz w:val="28"/>
          <w:szCs w:val="28"/>
          <w:lang w:eastAsia="ru-RU"/>
        </w:rPr>
        <w:t xml:space="preserve">«Цифровая культура» предполагает цифровизацию услуг и формирование информационного пространства в сфере культуры. </w:t>
      </w:r>
      <w:r w:rsidRPr="007E1256">
        <w:rPr>
          <w:color w:val="000000"/>
          <w:sz w:val="28"/>
          <w:szCs w:val="28"/>
        </w:rPr>
        <w:t xml:space="preserve">В рамках проекта планируется создание виртуальных концертных залов, оцифровка книжных памятников и включение в Национальную электронную библиотеку, создание виртуальных выставочных проектов, снабженных цифровыми гидами в формате дополненной реальности, что должно </w:t>
      </w:r>
      <w:r w:rsidRPr="007E1256">
        <w:rPr>
          <w:rFonts w:eastAsia="Calibri"/>
          <w:color w:val="000000"/>
          <w:sz w:val="28"/>
          <w:szCs w:val="28"/>
        </w:rPr>
        <w:t>увеличить число граждан, принимающих участие в культурной деятельности.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rFonts w:eastAsia="Calibri"/>
          <w:sz w:val="28"/>
          <w:szCs w:val="28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Ханты-Мансийского автономного округа-Югры.  </w:t>
      </w:r>
    </w:p>
    <w:p w:rsidR="007E1256" w:rsidRPr="007E1256" w:rsidRDefault="007E1256" w:rsidP="007E1256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7E1256">
        <w:rPr>
          <w:sz w:val="28"/>
          <w:szCs w:val="28"/>
          <w:lang w:eastAsia="ru-RU"/>
        </w:rPr>
        <w:t>Деятельность в сфере физической культуры и спорта будет сосредоточена на выполнении регионального проекта «Спорт - норма жизни», который реализуется в рамках наци</w:t>
      </w:r>
      <w:r w:rsidR="00ED4DE3">
        <w:rPr>
          <w:sz w:val="28"/>
          <w:szCs w:val="28"/>
          <w:lang w:eastAsia="ru-RU"/>
        </w:rPr>
        <w:t>онального проекта «Демография».</w:t>
      </w:r>
      <w:r w:rsidRPr="007E1256">
        <w:rPr>
          <w:sz w:val="28"/>
          <w:szCs w:val="28"/>
          <w:lang w:eastAsia="ru-RU"/>
        </w:rPr>
        <w:t xml:space="preserve"> Результатом реализации мероприятий должно стать </w:t>
      </w:r>
      <w:r w:rsidRPr="007E1256">
        <w:rPr>
          <w:color w:val="000000"/>
          <w:sz w:val="28"/>
          <w:szCs w:val="28"/>
        </w:rPr>
        <w:t>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резерва.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zh-CN"/>
        </w:rPr>
      </w:pPr>
      <w:r w:rsidRPr="007E1256">
        <w:rPr>
          <w:rFonts w:eastAsia="Batang"/>
          <w:sz w:val="28"/>
          <w:szCs w:val="28"/>
          <w:lang w:eastAsia="zh-CN"/>
        </w:rPr>
        <w:t>Для сохранения положительной динамики и устойчивого развития сферы физической культуры и спорта будут решаться задачи: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Batang"/>
          <w:sz w:val="28"/>
          <w:szCs w:val="28"/>
          <w:lang w:eastAsia="zh-CN"/>
        </w:rPr>
      </w:pPr>
      <w:r w:rsidRPr="007E1256">
        <w:rPr>
          <w:rFonts w:eastAsia="Batang"/>
          <w:sz w:val="28"/>
          <w:szCs w:val="28"/>
          <w:lang w:eastAsia="zh-CN"/>
        </w:rPr>
        <w:t xml:space="preserve">- повышения мотивации граждан </w:t>
      </w:r>
      <w:r w:rsidRPr="007E1256">
        <w:rPr>
          <w:rFonts w:eastAsia="Calibri"/>
          <w:sz w:val="28"/>
          <w:szCs w:val="28"/>
          <w:lang w:eastAsia="ru-RU"/>
        </w:rPr>
        <w:t xml:space="preserve">к регулярным занятиям физической </w:t>
      </w:r>
      <w:r w:rsidRPr="007E1256">
        <w:rPr>
          <w:rFonts w:eastAsia="Calibri"/>
          <w:sz w:val="28"/>
          <w:szCs w:val="28"/>
          <w:lang w:eastAsia="ru-RU"/>
        </w:rPr>
        <w:lastRenderedPageBreak/>
        <w:t>культурой и массовым спортом</w:t>
      </w:r>
      <w:r w:rsidRPr="007E1256">
        <w:rPr>
          <w:rFonts w:eastAsia="Batang"/>
          <w:sz w:val="28"/>
          <w:szCs w:val="28"/>
          <w:lang w:eastAsia="zh-CN"/>
        </w:rPr>
        <w:t>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ru-RU"/>
        </w:rPr>
        <w:t>- обеспечение доступа жителям города Югорска к современной спортивной инфраструктуре;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E1256">
        <w:rPr>
          <w:rFonts w:eastAsia="Calibri"/>
          <w:sz w:val="28"/>
          <w:szCs w:val="28"/>
          <w:lang w:eastAsia="ru-RU"/>
        </w:rPr>
        <w:t>- создание условий для успешного выступления спортсменов города Югорска на официальных соревнованиях различного уровня;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rPr>
          <w:sz w:val="28"/>
          <w:szCs w:val="28"/>
          <w:lang w:eastAsia="zh-CN"/>
        </w:rPr>
      </w:pPr>
      <w:r w:rsidRPr="007E1256">
        <w:rPr>
          <w:sz w:val="28"/>
          <w:szCs w:val="28"/>
        </w:rPr>
        <w:t>- популяризация спорта.</w:t>
      </w:r>
    </w:p>
    <w:p w:rsidR="007E1256" w:rsidRPr="007E1256" w:rsidRDefault="007E1256" w:rsidP="007E1256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7E1256">
        <w:rPr>
          <w:sz w:val="28"/>
          <w:szCs w:val="28"/>
        </w:rPr>
        <w:t xml:space="preserve">Проводимая в </w:t>
      </w:r>
      <w:r w:rsidRPr="007E1256">
        <w:rPr>
          <w:sz w:val="28"/>
          <w:szCs w:val="28"/>
          <w:lang w:eastAsia="ru-RU"/>
        </w:rPr>
        <w:t>городе Югорске</w:t>
      </w:r>
      <w:r w:rsidRPr="007E1256">
        <w:rPr>
          <w:sz w:val="28"/>
          <w:szCs w:val="28"/>
        </w:rPr>
        <w:t xml:space="preserve"> политика в области физической культуры и спорта направлена на введение мер по укреплению здоровья подрастающего поколения, на повсеместное вовлечение детей и молодежи в занятия физической культурой и спортом, на развитие детско-юношеского спорта.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Основным критерием качественного проведения учебно-тренировочного процесса является состояние материально-технической базы спортивных учреждений: наличие открытых спортивных сооружений, спортивных залов, оснащенных необходимым спортивным оборудованием и инвентарем, наличие современного специализированного оборудования для организации и проведения спортивных мероприятий, организационной техники, обеспечение спортсменов качественным спортивным инвентарем и спортивной формой, соответствующими по своим потребительским и функциональным характерис</w:t>
      </w:r>
      <w:r w:rsidR="00ED4DE3">
        <w:rPr>
          <w:sz w:val="28"/>
          <w:szCs w:val="28"/>
        </w:rPr>
        <w:t xml:space="preserve">тикам, действующим нормативам </w:t>
      </w:r>
      <w:r w:rsidRPr="007E1256">
        <w:rPr>
          <w:sz w:val="28"/>
          <w:szCs w:val="28"/>
        </w:rPr>
        <w:t>и санитарно-гигиеническим требованиям.</w:t>
      </w:r>
    </w:p>
    <w:p w:rsidR="007E1256" w:rsidRPr="007E1256" w:rsidRDefault="007E1256" w:rsidP="007E1256">
      <w:pPr>
        <w:widowControl w:val="0"/>
        <w:spacing w:after="0"/>
        <w:ind w:firstLine="709"/>
        <w:jc w:val="both"/>
        <w:textAlignment w:val="baseline"/>
        <w:rPr>
          <w:rFonts w:eastAsia="Arial Unicode MS"/>
          <w:bCs/>
          <w:color w:val="000000"/>
          <w:kern w:val="3"/>
          <w:sz w:val="28"/>
          <w:szCs w:val="28"/>
          <w:lang w:bidi="en-US"/>
        </w:rPr>
      </w:pPr>
      <w:r w:rsidRPr="007E1256">
        <w:rPr>
          <w:rFonts w:eastAsia="Arial Unicode MS"/>
          <w:bCs/>
          <w:color w:val="000000"/>
          <w:kern w:val="2"/>
          <w:sz w:val="28"/>
          <w:szCs w:val="28"/>
          <w:lang w:bidi="en-US"/>
        </w:rPr>
        <w:t xml:space="preserve">В прогнозном периоде планируется ежегодное увеличение количества спортивных сооружений за счет строительства открытых плоскостных (игровых) площадок. </w:t>
      </w:r>
      <w:r w:rsidRPr="007E1256">
        <w:rPr>
          <w:rFonts w:eastAsia="Arial Unicode MS"/>
          <w:bCs/>
          <w:color w:val="000000"/>
          <w:kern w:val="3"/>
          <w:sz w:val="28"/>
          <w:szCs w:val="28"/>
          <w:lang w:bidi="en-US"/>
        </w:rPr>
        <w:t xml:space="preserve"> </w:t>
      </w:r>
    </w:p>
    <w:p w:rsidR="007E1256" w:rsidRPr="007E1256" w:rsidRDefault="007E1256" w:rsidP="007E1256">
      <w:pPr>
        <w:spacing w:after="0"/>
        <w:ind w:firstLine="709"/>
        <w:jc w:val="both"/>
        <w:rPr>
          <w:sz w:val="28"/>
          <w:szCs w:val="28"/>
        </w:rPr>
      </w:pPr>
      <w:r w:rsidRPr="007E1256">
        <w:rPr>
          <w:sz w:val="28"/>
          <w:szCs w:val="28"/>
        </w:rPr>
        <w:t>Будет продолжена работа по созданию условий для упрощения доступа негосударственных (коммерческих, некоммерческих) организаций, в том числе социально-ориентированных некоммерческих организаций, к предоставлению населению услуг в сфере социального обслуживания. Развитие рынка социальных услуг должно способствовать повышению обеспеченности населения социальными услугами при рациональном использовании бюджетных средств.</w:t>
      </w:r>
    </w:p>
    <w:p w:rsidR="007E1256" w:rsidRPr="00626758" w:rsidRDefault="007E1256" w:rsidP="007E1256">
      <w:pPr>
        <w:rPr>
          <w:sz w:val="24"/>
          <w:szCs w:val="24"/>
          <w:highlight w:val="yellow"/>
        </w:rPr>
        <w:sectPr w:rsidR="007E1256" w:rsidRPr="00626758" w:rsidSect="00004FAB">
          <w:headerReference w:type="default" r:id="rId10"/>
          <w:pgSz w:w="11906" w:h="16838"/>
          <w:pgMar w:top="1134" w:right="851" w:bottom="1134" w:left="1701" w:header="567" w:footer="397" w:gutter="0"/>
          <w:cols w:space="720"/>
          <w:titlePg/>
          <w:docGrid w:linePitch="354"/>
        </w:sectPr>
      </w:pPr>
    </w:p>
    <w:p w:rsidR="007E1256" w:rsidRPr="00ED4DE3" w:rsidRDefault="007E1256" w:rsidP="00ED4DE3">
      <w:pPr>
        <w:spacing w:after="0"/>
        <w:ind w:firstLine="567"/>
        <w:jc w:val="right"/>
        <w:rPr>
          <w:sz w:val="28"/>
          <w:szCs w:val="28"/>
          <w:lang w:eastAsia="ru-RU"/>
        </w:rPr>
      </w:pPr>
      <w:r w:rsidRPr="00ED4DE3">
        <w:rPr>
          <w:sz w:val="28"/>
          <w:szCs w:val="28"/>
          <w:lang w:eastAsia="ru-RU"/>
        </w:rPr>
        <w:lastRenderedPageBreak/>
        <w:t>Таблица 3</w:t>
      </w:r>
    </w:p>
    <w:p w:rsidR="007E1256" w:rsidRPr="00ED4DE3" w:rsidRDefault="007E1256" w:rsidP="00ED4DE3">
      <w:pPr>
        <w:spacing w:after="0"/>
        <w:jc w:val="right"/>
        <w:rPr>
          <w:rFonts w:eastAsia="Calibri"/>
          <w:b/>
          <w:sz w:val="28"/>
          <w:szCs w:val="28"/>
        </w:rPr>
      </w:pPr>
    </w:p>
    <w:p w:rsidR="007E1256" w:rsidRPr="00ED4DE3" w:rsidRDefault="007E1256" w:rsidP="00ED4DE3">
      <w:pPr>
        <w:spacing w:after="0"/>
        <w:jc w:val="center"/>
        <w:rPr>
          <w:rFonts w:eastAsia="Calibri"/>
          <w:sz w:val="28"/>
          <w:szCs w:val="28"/>
        </w:rPr>
      </w:pPr>
      <w:r w:rsidRPr="00ED4DE3">
        <w:rPr>
          <w:rFonts w:eastAsia="Calibri"/>
          <w:sz w:val="28"/>
          <w:szCs w:val="28"/>
        </w:rPr>
        <w:t>Показатели прогноза социально-экономического развития города Югорска на период до 2036 года</w:t>
      </w:r>
    </w:p>
    <w:p w:rsidR="007E1256" w:rsidRPr="00ED4DE3" w:rsidRDefault="007E1256" w:rsidP="00ED4DE3">
      <w:pPr>
        <w:spacing w:after="0"/>
        <w:jc w:val="right"/>
        <w:rPr>
          <w:rFonts w:eastAsia="Calibri"/>
          <w:b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02"/>
        <w:gridCol w:w="748"/>
        <w:gridCol w:w="769"/>
        <w:gridCol w:w="748"/>
        <w:gridCol w:w="751"/>
        <w:gridCol w:w="748"/>
        <w:gridCol w:w="748"/>
        <w:gridCol w:w="757"/>
        <w:gridCol w:w="748"/>
        <w:gridCol w:w="748"/>
        <w:gridCol w:w="748"/>
        <w:gridCol w:w="748"/>
        <w:gridCol w:w="748"/>
        <w:gridCol w:w="748"/>
        <w:gridCol w:w="733"/>
      </w:tblGrid>
      <w:tr w:rsidR="007E1256" w:rsidRPr="00ED4DE3" w:rsidTr="00004FAB">
        <w:trPr>
          <w:tblHeader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ED4DE3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Показатели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отчет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оценка</w:t>
            </w:r>
          </w:p>
        </w:tc>
        <w:tc>
          <w:tcPr>
            <w:tcW w:w="30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прогноз</w:t>
            </w:r>
          </w:p>
        </w:tc>
      </w:tr>
      <w:tr w:rsidR="007E1256" w:rsidRPr="00ED4DE3" w:rsidTr="00004FAB">
        <w:trPr>
          <w:tblHeader/>
          <w:jc w:val="center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ED4DE3" w:rsidRDefault="007E1256" w:rsidP="00ED4DE3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2020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2021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2022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2023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2028</w:t>
            </w:r>
          </w:p>
        </w:tc>
      </w:tr>
      <w:tr w:rsidR="007E1256" w:rsidRPr="00ED4DE3" w:rsidTr="00004FAB">
        <w:trPr>
          <w:tblHeader/>
          <w:jc w:val="center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ED4DE3" w:rsidRDefault="007E1256" w:rsidP="00ED4DE3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вариант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вариант</w:t>
            </w:r>
          </w:p>
        </w:tc>
      </w:tr>
      <w:tr w:rsidR="007E1256" w:rsidRPr="00ED4DE3" w:rsidTr="00004FAB">
        <w:trPr>
          <w:tblHeader/>
          <w:jc w:val="center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ED4DE3" w:rsidRDefault="007E1256" w:rsidP="00ED4DE3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ED4DE3">
              <w:rPr>
                <w:rFonts w:eastAsia="Calibri"/>
                <w:b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Численность населения (среднегодовая), тыс. чел.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38,3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38,7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39,0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39,35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39,36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39,64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39,7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40,35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41,0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ED4DE3">
              <w:rPr>
                <w:rFonts w:eastAsia="Calibri"/>
                <w:b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 и средним предприятиям) производителей промышленной продукции, млн. руб.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1220,6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1608,7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1583,6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1692,6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1699,9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1787,3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1802,1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1881,1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1904,2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1979,0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2004,6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2080,4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2108,7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2187,5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2215,9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93,7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122,6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88,5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100,6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004FAB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- обрабатывающие производства, млн. руб.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729,0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1056,0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1024,0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1095,3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1158,4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1168,6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1220,6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1236,5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1285,6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1301,3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1352,7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1367,7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1423,4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1436,0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132,3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84,1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353,7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413,3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406,6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437,6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439,3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462,5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466,3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487,1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493,0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512,2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519,9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538,1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548,8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566,3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578,7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85,7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115,5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93,7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101,5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137,9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139,4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153,0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159,7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167,2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173,4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174,8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181,2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183,4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189,6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201,2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95,3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105,3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100,6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ED4DE3">
              <w:rPr>
                <w:rFonts w:eastAsia="Calibri"/>
                <w:b/>
                <w:sz w:val="16"/>
                <w:szCs w:val="16"/>
              </w:rPr>
              <w:t xml:space="preserve">Инвестиции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2651,2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1721,2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1753,0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3604,1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3622,9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3738,4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3776,3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3702,2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3764,4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3697,5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3765,0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3698,0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3771,3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3693,3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3778,7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индекс физического объема, %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65,6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61,9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89,4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193,6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194,6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98,1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99,0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94,4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95,1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95,8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96,2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95,8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96,3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Ввод жилья, тыс. кв. 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32,7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19,6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24,8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25,5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28,5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23,0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22,5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22,8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15,0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16,7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12,2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14,6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ED4DE3">
              <w:rPr>
                <w:sz w:val="16"/>
                <w:szCs w:val="16"/>
              </w:rPr>
              <w:t>28,2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28,4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28,6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28,9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29,7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ED4DE3">
              <w:rPr>
                <w:rFonts w:eastAsia="Calibri"/>
                <w:b/>
                <w:sz w:val="16"/>
                <w:szCs w:val="16"/>
              </w:rPr>
              <w:t>Денежные доходы и расходы населения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Численность населения с денежными доходами ниже величины прожиточного минимума в % ко всему населению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4,1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ED4DE3">
              <w:rPr>
                <w:rFonts w:eastAsia="Calibri"/>
                <w:b/>
                <w:sz w:val="16"/>
                <w:szCs w:val="16"/>
              </w:rPr>
              <w:lastRenderedPageBreak/>
              <w:t>Труд и занятость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26,45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26,65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26,75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26,85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26,85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26,95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26,95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27,0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tabs>
                <w:tab w:val="left" w:pos="0"/>
              </w:tabs>
              <w:spacing w:after="0"/>
              <w:rPr>
                <w:rFonts w:eastAsia="Calibri"/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Уровень зарегистрированной безработицы (на конец периода), 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3,14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0,94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0,97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0,86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0,84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0,82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0,73</w:t>
            </w:r>
          </w:p>
        </w:tc>
      </w:tr>
      <w:tr w:rsidR="007E1256" w:rsidRPr="00ED4DE3" w:rsidTr="00004FAB">
        <w:trPr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ED4DE3" w:rsidRDefault="007E1256" w:rsidP="00ED4DE3">
            <w:pPr>
              <w:spacing w:after="0"/>
              <w:rPr>
                <w:rFonts w:eastAsia="Calibri"/>
                <w:sz w:val="16"/>
                <w:szCs w:val="16"/>
              </w:rPr>
            </w:pPr>
            <w:r w:rsidRPr="00ED4DE3">
              <w:rPr>
                <w:rFonts w:eastAsia="Calibri"/>
                <w:sz w:val="16"/>
                <w:szCs w:val="16"/>
              </w:rPr>
              <w:t>Реальная заработная плата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103,1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99,3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ED4DE3" w:rsidRDefault="007E1256" w:rsidP="00ED4DE3">
            <w:pPr>
              <w:spacing w:after="0"/>
              <w:jc w:val="center"/>
              <w:rPr>
                <w:sz w:val="16"/>
                <w:szCs w:val="16"/>
              </w:rPr>
            </w:pPr>
            <w:r w:rsidRPr="00ED4DE3">
              <w:rPr>
                <w:sz w:val="16"/>
                <w:szCs w:val="16"/>
              </w:rPr>
              <w:t>102,1</w:t>
            </w:r>
          </w:p>
        </w:tc>
      </w:tr>
    </w:tbl>
    <w:p w:rsidR="007E1256" w:rsidRDefault="007E1256" w:rsidP="00004FAB">
      <w:pPr>
        <w:spacing w:after="0"/>
        <w:rPr>
          <w:rFonts w:eastAsia="Calibri"/>
          <w:sz w:val="28"/>
          <w:szCs w:val="16"/>
        </w:rPr>
      </w:pPr>
    </w:p>
    <w:p w:rsidR="00004FAB" w:rsidRPr="00004FAB" w:rsidRDefault="00004FAB" w:rsidP="00004FAB">
      <w:pPr>
        <w:spacing w:after="0"/>
        <w:rPr>
          <w:rFonts w:eastAsia="Calibri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25"/>
      </w:tblGrid>
      <w:tr w:rsidR="007E1256" w:rsidRPr="00004FAB" w:rsidTr="00004FAB">
        <w:trPr>
          <w:tblHeader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Показатели</w:t>
            </w:r>
          </w:p>
        </w:tc>
        <w:tc>
          <w:tcPr>
            <w:tcW w:w="40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прогноз</w:t>
            </w:r>
          </w:p>
        </w:tc>
      </w:tr>
      <w:tr w:rsidR="007E1256" w:rsidRPr="00004FAB" w:rsidTr="00004FAB">
        <w:trPr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004FAB" w:rsidRDefault="007E1256" w:rsidP="00004FAB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2029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2030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2031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2032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2033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2034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2035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2036</w:t>
            </w:r>
          </w:p>
        </w:tc>
      </w:tr>
      <w:tr w:rsidR="007E1256" w:rsidRPr="00004FAB" w:rsidTr="00004FAB">
        <w:trPr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004FAB" w:rsidRDefault="007E1256" w:rsidP="00004FAB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вариант</w:t>
            </w:r>
          </w:p>
        </w:tc>
      </w:tr>
      <w:tr w:rsidR="007E1256" w:rsidRPr="00004FAB" w:rsidTr="00004FAB">
        <w:trPr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56" w:rsidRPr="00004FAB" w:rsidRDefault="007E1256" w:rsidP="00004FAB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004FAB">
              <w:rPr>
                <w:rFonts w:eastAsia="Calibri"/>
                <w:b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Численность населения (среднегодовая), тыс. 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41,85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41,93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41,97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41,9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42,1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42,1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42,2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004FAB">
              <w:rPr>
                <w:rFonts w:eastAsia="Calibri"/>
                <w:b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(по крупным  и средним предприятиям) производителей промышленной продукции, млн. руб.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2301,4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2332,4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2422,6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2453,7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2547,4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2583,8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2677,6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2719,0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2812,7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2861,7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2953,9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3012,4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3104,7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3165,6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3258,8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3329,0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101,0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 xml:space="preserve">- обрабатывающие производства, </w:t>
            </w:r>
          </w:p>
          <w:p w:rsidR="007E1256" w:rsidRPr="00004FAB" w:rsidRDefault="007E1256" w:rsidP="00004FAB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млн. руб.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1498,1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1509,3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1579,0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1586,2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1661,3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1670,1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1746,6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1756,9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1836,5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1848,3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1929,2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1944,6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2028,6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2042,0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2129,3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2144,3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tabs>
                <w:tab w:val="left" w:pos="0"/>
              </w:tabs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 xml:space="preserve">- обеспечение электрической энергией, газом и паром; кондиционирование воздуха, млн. руб.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596,6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612,2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627,3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646,2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660,2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682,2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694,9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719,4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729,2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758,7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766,8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800,8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807,0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844,6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848,6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892,4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101,7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- водоснабжение,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206,7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210,9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216,3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221,3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225,9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231,5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236,1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242,7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247,0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254,7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257,9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267,0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269,1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280,9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292,3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индекс производства, 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100,7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004FAB">
              <w:rPr>
                <w:rFonts w:eastAsia="Calibri"/>
                <w:b/>
                <w:sz w:val="16"/>
                <w:szCs w:val="16"/>
              </w:rPr>
              <w:lastRenderedPageBreak/>
              <w:t xml:space="preserve">Инвестиции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Объем инвестиций в основной капитал за счет всех источников финансирования (без субъектов малого предпринимательства), млн. руб.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004FAB">
              <w:rPr>
                <w:sz w:val="16"/>
                <w:szCs w:val="16"/>
              </w:rPr>
              <w:t>3693,9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3789,5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3695,2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3798,3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3698,0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3808,2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3699,6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3817,5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3700,2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3826,7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3700,1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3835,8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3702,5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3848,3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3710,6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3880,0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индекс физического объема, %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004FAB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96,1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96,1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96,1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96,2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96,5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96,4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96,9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Ввод жилья, тыс. кв. 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004FAB">
              <w:rPr>
                <w:sz w:val="16"/>
                <w:szCs w:val="16"/>
              </w:rPr>
              <w:t>11,2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12,9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11,2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12,9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12,2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12,9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13,9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Общая площадь жилых помещений, приходящаяся в среднем на 1 жителя (на конец года), кв. 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004FAB">
              <w:rPr>
                <w:sz w:val="16"/>
                <w:szCs w:val="16"/>
              </w:rPr>
              <w:t>29,5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30,0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29,9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30,1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30,2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30,4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30,7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004FAB">
              <w:rPr>
                <w:rFonts w:eastAsia="Calibri"/>
                <w:b/>
                <w:sz w:val="16"/>
                <w:szCs w:val="16"/>
              </w:rPr>
              <w:t>Денежные доходы и расходы населения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Численность населения с денежными доходами ниже величины прожиточного минимума в % ко всему населению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4,0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004FAB">
              <w:rPr>
                <w:rFonts w:eastAsia="Calibri"/>
                <w:b/>
                <w:sz w:val="16"/>
                <w:szCs w:val="16"/>
              </w:rPr>
              <w:t>Труд и занятость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27,6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tabs>
                <w:tab w:val="left" w:pos="0"/>
              </w:tabs>
              <w:spacing w:after="0"/>
              <w:rPr>
                <w:rFonts w:eastAsia="Calibri"/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Уровень зарегистрированной безработицы (на конец периода), 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0,71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0,63</w:t>
            </w:r>
          </w:p>
        </w:tc>
      </w:tr>
      <w:tr w:rsidR="007E1256" w:rsidRPr="00004FAB" w:rsidTr="00004FAB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56" w:rsidRPr="00004FAB" w:rsidRDefault="007E1256" w:rsidP="00004FAB">
            <w:pPr>
              <w:spacing w:after="0"/>
              <w:rPr>
                <w:rFonts w:eastAsia="Calibri"/>
                <w:sz w:val="16"/>
                <w:szCs w:val="16"/>
              </w:rPr>
            </w:pPr>
            <w:r w:rsidRPr="00004FAB">
              <w:rPr>
                <w:rFonts w:eastAsia="Calibri"/>
                <w:sz w:val="16"/>
                <w:szCs w:val="16"/>
              </w:rPr>
              <w:t>Реальная заработная плата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56" w:rsidRPr="00004FAB" w:rsidRDefault="007E1256" w:rsidP="00004FAB">
            <w:pPr>
              <w:spacing w:after="0"/>
              <w:jc w:val="center"/>
              <w:rPr>
                <w:sz w:val="16"/>
                <w:szCs w:val="16"/>
              </w:rPr>
            </w:pPr>
            <w:r w:rsidRPr="00004FAB">
              <w:rPr>
                <w:sz w:val="16"/>
                <w:szCs w:val="16"/>
              </w:rPr>
              <w:t>102,3</w:t>
            </w:r>
          </w:p>
        </w:tc>
      </w:tr>
    </w:tbl>
    <w:p w:rsidR="007E1256" w:rsidRPr="007A2CE4" w:rsidRDefault="007E1256" w:rsidP="00B952A2">
      <w:pPr>
        <w:spacing w:after="0"/>
        <w:rPr>
          <w:sz w:val="28"/>
        </w:rPr>
      </w:pPr>
    </w:p>
    <w:sectPr w:rsidR="007E1256" w:rsidRPr="007A2CE4" w:rsidSect="00ED4D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AB" w:rsidRDefault="00004FAB" w:rsidP="00004FAB">
      <w:pPr>
        <w:spacing w:after="0" w:line="240" w:lineRule="auto"/>
      </w:pPr>
      <w:r>
        <w:separator/>
      </w:r>
    </w:p>
  </w:endnote>
  <w:endnote w:type="continuationSeparator" w:id="0">
    <w:p w:rsidR="00004FAB" w:rsidRDefault="00004FAB" w:rsidP="0000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AB" w:rsidRDefault="00004FAB" w:rsidP="00004FAB">
      <w:pPr>
        <w:spacing w:after="0" w:line="240" w:lineRule="auto"/>
      </w:pPr>
      <w:r>
        <w:separator/>
      </w:r>
    </w:p>
  </w:footnote>
  <w:footnote w:type="continuationSeparator" w:id="0">
    <w:p w:rsidR="00004FAB" w:rsidRDefault="00004FAB" w:rsidP="0000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56" w:rsidRPr="00004FAB" w:rsidRDefault="007E1256" w:rsidP="00004FAB">
    <w:pPr>
      <w:pStyle w:val="aa"/>
      <w:jc w:val="center"/>
      <w:rPr>
        <w:rFonts w:ascii="PT Astra Serif" w:hAnsi="PT Astra Serif"/>
        <w:szCs w:val="20"/>
      </w:rPr>
    </w:pPr>
    <w:r w:rsidRPr="00004FAB">
      <w:rPr>
        <w:rFonts w:ascii="PT Astra Serif" w:hAnsi="PT Astra Serif"/>
        <w:szCs w:val="20"/>
      </w:rPr>
      <w:fldChar w:fldCharType="begin"/>
    </w:r>
    <w:r w:rsidRPr="00004FAB">
      <w:rPr>
        <w:rFonts w:ascii="PT Astra Serif" w:hAnsi="PT Astra Serif"/>
        <w:szCs w:val="20"/>
      </w:rPr>
      <w:instrText>PAGE   \* MERGEFORMAT</w:instrText>
    </w:r>
    <w:r w:rsidRPr="00004FAB">
      <w:rPr>
        <w:rFonts w:ascii="PT Astra Serif" w:hAnsi="PT Astra Serif"/>
        <w:szCs w:val="20"/>
      </w:rPr>
      <w:fldChar w:fldCharType="separate"/>
    </w:r>
    <w:r w:rsidR="00004FAB">
      <w:rPr>
        <w:rFonts w:ascii="PT Astra Serif" w:hAnsi="PT Astra Serif"/>
        <w:noProof/>
        <w:szCs w:val="20"/>
      </w:rPr>
      <w:t>2</w:t>
    </w:r>
    <w:r w:rsidRPr="00004FAB">
      <w:rPr>
        <w:rFonts w:ascii="PT Astra Serif" w:hAnsi="PT Astra Serif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FCF"/>
    <w:multiLevelType w:val="hybridMultilevel"/>
    <w:tmpl w:val="D9DC4934"/>
    <w:lvl w:ilvl="0" w:tplc="2AF8D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04FAB"/>
    <w:rsid w:val="002F2E6F"/>
    <w:rsid w:val="006C3905"/>
    <w:rsid w:val="0072153E"/>
    <w:rsid w:val="007A2CE4"/>
    <w:rsid w:val="007E1256"/>
    <w:rsid w:val="00880989"/>
    <w:rsid w:val="00985EF0"/>
    <w:rsid w:val="00AC1C50"/>
    <w:rsid w:val="00B952A2"/>
    <w:rsid w:val="00CC31F0"/>
    <w:rsid w:val="00E62434"/>
    <w:rsid w:val="00ED4DE3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1256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7E125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hAnsi="Times New Roman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256"/>
    <w:rPr>
      <w:rFonts w:ascii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40">
    <w:name w:val="Заголовок 4 Знак"/>
    <w:basedOn w:val="a0"/>
    <w:link w:val="4"/>
    <w:semiHidden/>
    <w:rsid w:val="007E1256"/>
    <w:rPr>
      <w:rFonts w:ascii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25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7E1256"/>
    <w:rPr>
      <w:rFonts w:ascii="Arial" w:eastAsia="Calibri" w:hAnsi="Arial"/>
      <w:kern w:val="1"/>
      <w:sz w:val="20"/>
      <w:szCs w:val="24"/>
      <w:lang w:eastAsia="ar-SA"/>
    </w:rPr>
  </w:style>
  <w:style w:type="paragraph" w:styleId="a7">
    <w:name w:val="Body Text Indent"/>
    <w:basedOn w:val="a"/>
    <w:link w:val="a6"/>
    <w:uiPriority w:val="99"/>
    <w:semiHidden/>
    <w:rsid w:val="007E1256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/>
      <w:kern w:val="1"/>
      <w:sz w:val="20"/>
      <w:szCs w:val="24"/>
      <w:lang w:eastAsia="ar-SA"/>
    </w:rPr>
  </w:style>
  <w:style w:type="paragraph" w:customStyle="1" w:styleId="Standard">
    <w:name w:val="Standard"/>
    <w:uiPriority w:val="99"/>
    <w:rsid w:val="007E1256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customStyle="1" w:styleId="HTML">
    <w:name w:val="Стандартный HTML Знак"/>
    <w:basedOn w:val="a0"/>
    <w:link w:val="HTML0"/>
    <w:semiHidden/>
    <w:rsid w:val="007E1256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E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a8">
    <w:name w:val="Базовый"/>
    <w:rsid w:val="007E1256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hAnsi="Arial" w:cs="Arial"/>
      <w:color w:val="00000A"/>
      <w:sz w:val="20"/>
      <w:lang w:eastAsia="ar-SA"/>
    </w:rPr>
  </w:style>
  <w:style w:type="character" w:styleId="a9">
    <w:name w:val="Hyperlink"/>
    <w:uiPriority w:val="99"/>
    <w:semiHidden/>
    <w:unhideWhenUsed/>
    <w:rsid w:val="007E125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12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7E1256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E12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7E125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1256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7E125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hAnsi="Times New Roman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256"/>
    <w:rPr>
      <w:rFonts w:ascii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40">
    <w:name w:val="Заголовок 4 Знак"/>
    <w:basedOn w:val="a0"/>
    <w:link w:val="4"/>
    <w:semiHidden/>
    <w:rsid w:val="007E1256"/>
    <w:rPr>
      <w:rFonts w:ascii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25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7E1256"/>
    <w:rPr>
      <w:rFonts w:ascii="Arial" w:eastAsia="Calibri" w:hAnsi="Arial"/>
      <w:kern w:val="1"/>
      <w:sz w:val="20"/>
      <w:szCs w:val="24"/>
      <w:lang w:eastAsia="ar-SA"/>
    </w:rPr>
  </w:style>
  <w:style w:type="paragraph" w:styleId="a7">
    <w:name w:val="Body Text Indent"/>
    <w:basedOn w:val="a"/>
    <w:link w:val="a6"/>
    <w:uiPriority w:val="99"/>
    <w:semiHidden/>
    <w:rsid w:val="007E1256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/>
      <w:kern w:val="1"/>
      <w:sz w:val="20"/>
      <w:szCs w:val="24"/>
      <w:lang w:eastAsia="ar-SA"/>
    </w:rPr>
  </w:style>
  <w:style w:type="paragraph" w:customStyle="1" w:styleId="Standard">
    <w:name w:val="Standard"/>
    <w:uiPriority w:val="99"/>
    <w:rsid w:val="007E1256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customStyle="1" w:styleId="HTML">
    <w:name w:val="Стандартный HTML Знак"/>
    <w:basedOn w:val="a0"/>
    <w:link w:val="HTML0"/>
    <w:semiHidden/>
    <w:rsid w:val="007E1256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E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a8">
    <w:name w:val="Базовый"/>
    <w:rsid w:val="007E1256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hAnsi="Arial" w:cs="Arial"/>
      <w:color w:val="00000A"/>
      <w:sz w:val="20"/>
      <w:lang w:eastAsia="ar-SA"/>
    </w:rPr>
  </w:style>
  <w:style w:type="character" w:styleId="a9">
    <w:name w:val="Hyperlink"/>
    <w:uiPriority w:val="99"/>
    <w:semiHidden/>
    <w:unhideWhenUsed/>
    <w:rsid w:val="007E125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12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7E1256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E12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7E12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opedia.ru/9_105684_investitsionnaya-politika-gosudarstva-podhodi-istochniki-tseli-modeli-investitsionnoy-poli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Секретарь Главы города</cp:lastModifiedBy>
  <cp:revision>2</cp:revision>
  <cp:lastPrinted>2022-11-09T10:52:00Z</cp:lastPrinted>
  <dcterms:created xsi:type="dcterms:W3CDTF">2022-11-09T10:52:00Z</dcterms:created>
  <dcterms:modified xsi:type="dcterms:W3CDTF">2022-11-09T10:52:00Z</dcterms:modified>
</cp:coreProperties>
</file>