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632309" w:rsidP="007F4736">
      <w:pPr>
        <w:pStyle w:val="Standard"/>
        <w:tabs>
          <w:tab w:val="left" w:pos="426"/>
        </w:tabs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651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3A5CF6" w:rsidRDefault="00624190" w:rsidP="0037056B">
      <w:pPr>
        <w:jc w:val="center"/>
        <w:rPr>
          <w:sz w:val="32"/>
          <w:szCs w:val="32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273087" w:rsidRPr="003A5CF6" w:rsidRDefault="00273087" w:rsidP="003A5CF6">
      <w:pPr>
        <w:jc w:val="center"/>
        <w:rPr>
          <w:sz w:val="40"/>
          <w:szCs w:val="40"/>
        </w:rPr>
      </w:pPr>
    </w:p>
    <w:p w:rsidR="00624190" w:rsidRDefault="00FE3BE4" w:rsidP="0027308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01 августа 2019 года</w:t>
      </w:r>
      <w:r w:rsidR="00273087">
        <w:rPr>
          <w:sz w:val="24"/>
          <w:szCs w:val="24"/>
        </w:rPr>
        <w:t xml:space="preserve">             </w:t>
      </w:r>
      <w:r w:rsidR="0067527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  <w:r w:rsidR="00624190">
        <w:rPr>
          <w:sz w:val="24"/>
          <w:szCs w:val="24"/>
        </w:rPr>
        <w:t xml:space="preserve">                                  </w:t>
      </w:r>
      <w:r w:rsidR="000774B0">
        <w:rPr>
          <w:sz w:val="24"/>
          <w:szCs w:val="24"/>
        </w:rPr>
        <w:t xml:space="preserve">    </w:t>
      </w:r>
      <w:r w:rsidR="006D523E">
        <w:rPr>
          <w:sz w:val="24"/>
          <w:szCs w:val="24"/>
        </w:rPr>
        <w:t xml:space="preserve">            </w:t>
      </w:r>
      <w:r w:rsidR="00273087">
        <w:rPr>
          <w:sz w:val="24"/>
          <w:szCs w:val="24"/>
        </w:rPr>
        <w:t xml:space="preserve">     </w:t>
      </w:r>
      <w:r w:rsidR="006D523E">
        <w:rPr>
          <w:sz w:val="24"/>
          <w:szCs w:val="24"/>
        </w:rPr>
        <w:t xml:space="preserve">         </w:t>
      </w:r>
      <w:r w:rsidR="00684215">
        <w:rPr>
          <w:sz w:val="24"/>
          <w:szCs w:val="24"/>
        </w:rPr>
        <w:t xml:space="preserve">   № </w:t>
      </w:r>
      <w:r>
        <w:rPr>
          <w:sz w:val="24"/>
          <w:szCs w:val="24"/>
          <w:u w:val="single"/>
        </w:rPr>
        <w:t>330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4F7448" w:rsidRDefault="004F7448" w:rsidP="0037056B">
      <w:pPr>
        <w:rPr>
          <w:sz w:val="24"/>
          <w:szCs w:val="24"/>
        </w:rPr>
      </w:pPr>
    </w:p>
    <w:p w:rsidR="00856B10" w:rsidRDefault="00856B10" w:rsidP="00856B10">
      <w:pPr>
        <w:rPr>
          <w:sz w:val="24"/>
          <w:szCs w:val="24"/>
        </w:rPr>
      </w:pPr>
      <w:r>
        <w:rPr>
          <w:sz w:val="24"/>
          <w:szCs w:val="24"/>
        </w:rPr>
        <w:t>О прогнозе социально-экономического</w:t>
      </w:r>
    </w:p>
    <w:p w:rsidR="00856B10" w:rsidRDefault="00856B10" w:rsidP="00856B10">
      <w:pPr>
        <w:rPr>
          <w:sz w:val="24"/>
          <w:szCs w:val="24"/>
        </w:rPr>
      </w:pPr>
      <w:r>
        <w:rPr>
          <w:sz w:val="24"/>
          <w:szCs w:val="24"/>
        </w:rPr>
        <w:t xml:space="preserve">развития города Югорска </w:t>
      </w:r>
    </w:p>
    <w:p w:rsidR="00856B10" w:rsidRDefault="00856B10" w:rsidP="00856B10">
      <w:pPr>
        <w:rPr>
          <w:sz w:val="24"/>
          <w:szCs w:val="24"/>
        </w:rPr>
      </w:pPr>
      <w:r>
        <w:rPr>
          <w:sz w:val="24"/>
          <w:szCs w:val="24"/>
        </w:rPr>
        <w:t>на период до 2036 года</w:t>
      </w:r>
    </w:p>
    <w:p w:rsidR="00856B10" w:rsidRDefault="00856B10" w:rsidP="00856B10">
      <w:pPr>
        <w:rPr>
          <w:sz w:val="24"/>
          <w:szCs w:val="24"/>
        </w:rPr>
      </w:pPr>
    </w:p>
    <w:p w:rsidR="00856B10" w:rsidRDefault="00856B10" w:rsidP="00856B10">
      <w:pPr>
        <w:rPr>
          <w:sz w:val="24"/>
          <w:szCs w:val="24"/>
        </w:rPr>
      </w:pPr>
    </w:p>
    <w:p w:rsidR="00856B10" w:rsidRDefault="00856B10" w:rsidP="00856B10">
      <w:pPr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28.06.2014 № 172-ФЗ «О стратегическом планировании в Российской Федерации», постановлением администрации города Югорска                от 02.11.2018 № 3051 «О Порядке разработки, корректировки, утверждения (одобрения) прогноза социально-экономического развития города Югорска на долгосрочный период, осуществления мониторинга и контроля его реализации»: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Одобрить прогноз социально-экономического развития города Югорска на период               до 2036 года </w:t>
      </w:r>
      <w:bookmarkStart w:id="1" w:name="sub_100"/>
      <w:r>
        <w:rPr>
          <w:sz w:val="24"/>
          <w:szCs w:val="24"/>
        </w:rPr>
        <w:t>(далее - долгосрочный прогноз) (приложение).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bookmarkStart w:id="2" w:name="sub_200"/>
      <w:bookmarkEnd w:id="1"/>
      <w:r>
        <w:rPr>
          <w:sz w:val="24"/>
          <w:szCs w:val="24"/>
        </w:rPr>
        <w:t xml:space="preserve">2. Органам и структурным подразделениям администрации города Югорска использовать долгосрочный прогноз при разработке отраслевых документов планирования                       и проектов муниципальных программ города Югорска. 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Распоряжение администрации города Югорска от 28.11.2016 № 564 «О прогнозе социально-экономического развития муниципального образования город Югорск на долгосрочный период до 2022 года» признать утратившим силу.</w:t>
      </w:r>
      <w:bookmarkEnd w:id="2"/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856B10" w:rsidRPr="00B67A95" w:rsidRDefault="00856B10" w:rsidP="00856B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56B10" w:rsidRDefault="00856B10" w:rsidP="00856B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856B10" w:rsidRDefault="00856B10" w:rsidP="00856B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56B10" w:rsidRPr="00FE3BE4" w:rsidRDefault="00FE3BE4" w:rsidP="00856B1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01 августа 2019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330</w:t>
      </w:r>
    </w:p>
    <w:p w:rsidR="00856B10" w:rsidRDefault="00856B10" w:rsidP="00856B10"/>
    <w:p w:rsidR="00856B10" w:rsidRPr="00856B10" w:rsidRDefault="00856B10" w:rsidP="00856B10">
      <w:pPr>
        <w:jc w:val="center"/>
        <w:rPr>
          <w:b/>
          <w:bCs/>
          <w:sz w:val="24"/>
          <w:szCs w:val="24"/>
        </w:rPr>
      </w:pPr>
      <w:r w:rsidRPr="00856B10">
        <w:rPr>
          <w:b/>
          <w:bCs/>
          <w:sz w:val="24"/>
          <w:szCs w:val="24"/>
        </w:rPr>
        <w:t>Прогноз социально-экономического развития</w:t>
      </w:r>
    </w:p>
    <w:p w:rsidR="00856B10" w:rsidRPr="00856B10" w:rsidRDefault="00856B10" w:rsidP="00856B10">
      <w:pPr>
        <w:jc w:val="center"/>
        <w:rPr>
          <w:b/>
          <w:bCs/>
          <w:sz w:val="24"/>
          <w:szCs w:val="24"/>
        </w:rPr>
      </w:pPr>
      <w:r w:rsidRPr="00856B10">
        <w:rPr>
          <w:b/>
          <w:bCs/>
          <w:sz w:val="24"/>
          <w:szCs w:val="24"/>
        </w:rPr>
        <w:t>города Югорска на период до 2036 года</w:t>
      </w:r>
    </w:p>
    <w:p w:rsidR="00856B10" w:rsidRPr="00856B10" w:rsidRDefault="00856B10" w:rsidP="00856B10">
      <w:pPr>
        <w:jc w:val="center"/>
        <w:rPr>
          <w:b/>
          <w:bCs/>
          <w:sz w:val="24"/>
          <w:szCs w:val="24"/>
        </w:rPr>
      </w:pPr>
    </w:p>
    <w:p w:rsidR="00856B10" w:rsidRPr="00856B10" w:rsidRDefault="00856B10" w:rsidP="00856B1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Прогноз социально-экономического развития города Югорска на период до 2036 года </w:t>
      </w:r>
      <w:r>
        <w:rPr>
          <w:sz w:val="24"/>
          <w:szCs w:val="24"/>
          <w:lang w:eastAsia="ru-RU"/>
        </w:rPr>
        <w:t>(далее - долгосрочный прогноз) является одним из основных документов системы стратегического планирования города Югорска. Он определяет направления и ожидаемые результаты социально-экономического развития города Югорска в долгосрочной перспективе и содержит основные тенденции и обоснование внутренних и внешних условий достижения целевых показателей. Долгосрочный прогноз формирует единую платформу для разработки муниципальных программ, а также прогнозных и плановых документов среднесрочного периода.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Долгосрочный прогноз базируется на основе исходных условий, основных параметров долгосрочного прогноза социально-экономического развития Российской Федерации на период до 2036 года, основных показателях прогноза социально-экономического развития Ханты-Мансийского автономного округа - Югры на период до 2036 года, Стратегии социально-экономического развития муниципального образования город Югорск до 2030 года и других документов долгосрочного характера.  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долгосрочном прогнозе отражены запланированные к реализации мероприятия, направленные на достижение национальных целей развития, установленных Указом Президента Российской Федерации от 07.05.2018 № 204 «О национальных целях                                     и стратегических задачах развития Российской Федерации на период до 2024 года».</w:t>
      </w:r>
    </w:p>
    <w:p w:rsidR="00856B10" w:rsidRPr="00856B10" w:rsidRDefault="00856B10" w:rsidP="00856B10">
      <w:pPr>
        <w:ind w:firstLine="426"/>
        <w:jc w:val="both"/>
        <w:rPr>
          <w:rFonts w:eastAsia="Calibri"/>
          <w:sz w:val="24"/>
          <w:szCs w:val="24"/>
          <w:lang w:eastAsia="en-US"/>
        </w:rPr>
      </w:pPr>
    </w:p>
    <w:p w:rsidR="00856B10" w:rsidRDefault="00856B10" w:rsidP="00856B10">
      <w:pPr>
        <w:pStyle w:val="a5"/>
        <w:numPr>
          <w:ilvl w:val="0"/>
          <w:numId w:val="5"/>
        </w:numPr>
        <w:suppressAutoHyphens w:val="0"/>
        <w:spacing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достигнутого уровня социально-экономического развития </w:t>
      </w:r>
    </w:p>
    <w:p w:rsidR="00856B10" w:rsidRDefault="00856B10" w:rsidP="00856B10">
      <w:pPr>
        <w:pStyle w:val="a5"/>
        <w:ind w:left="78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города Югорска</w:t>
      </w:r>
    </w:p>
    <w:p w:rsidR="00856B10" w:rsidRDefault="00856B10" w:rsidP="00856B10">
      <w:pPr>
        <w:pStyle w:val="a5"/>
        <w:ind w:left="786"/>
        <w:jc w:val="center"/>
        <w:rPr>
          <w:b/>
          <w:bCs/>
          <w:sz w:val="24"/>
          <w:szCs w:val="24"/>
        </w:rPr>
      </w:pPr>
    </w:p>
    <w:p w:rsidR="00856B10" w:rsidRDefault="00856B10" w:rsidP="00856B10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Социально-экономическое положение города Югорска в 2017-2019 годах характеризуется следующими показателями:</w:t>
      </w:r>
    </w:p>
    <w:p w:rsidR="00856B10" w:rsidRDefault="00856B10" w:rsidP="00856B10">
      <w:pPr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1</w:t>
      </w:r>
    </w:p>
    <w:p w:rsidR="00856B10" w:rsidRDefault="00856B10" w:rsidP="00856B10">
      <w:pPr>
        <w:ind w:firstLine="567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856B10" w:rsidRDefault="00856B10" w:rsidP="00856B10">
      <w:pPr>
        <w:ind w:firstLine="567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Динамика показателей социально-экономического развития города Югорска</w:t>
      </w:r>
    </w:p>
    <w:p w:rsidR="00856B10" w:rsidRDefault="00856B10" w:rsidP="00856B10">
      <w:pPr>
        <w:ind w:firstLine="567"/>
        <w:contextualSpacing/>
        <w:jc w:val="center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559"/>
      </w:tblGrid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76CE5">
              <w:rPr>
                <w:rFonts w:eastAsia="Calibri"/>
                <w:b/>
                <w:bCs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76CE5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76CE5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76CE5">
              <w:rPr>
                <w:rFonts w:eastAsia="Calibri"/>
                <w:b/>
                <w:bCs/>
              </w:rPr>
              <w:t>2019 оценка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37,4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Объем промышленного производства (по крупным и средним предприятиям),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1525,5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1041,8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Индекс промышленного производства,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65,0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Инвестиции в основной капитал (без субъектов малого предпринимательства),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1643,3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1762,0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1579,0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Индекс физического объема инвестиций в основной капитал,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85,3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Среднемесячная номинальная начисленная заработная плата одного работника по крупным и средним предприятиям,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83100,9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89285,1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95535,1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Среднедушевые денежные доходы населения в месяц,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49831,3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49906,1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51953,0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Реальные располагаемые денежные доходы населения,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100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Уровень зарегистрированной безработицы (на конец года),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0,74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Ввод жилья, 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 xml:space="preserve">25,4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18,9</w:t>
            </w:r>
          </w:p>
        </w:tc>
      </w:tr>
    </w:tbl>
    <w:p w:rsidR="00856B10" w:rsidRDefault="00856B10" w:rsidP="00856B10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56B10" w:rsidRPr="00856B10" w:rsidRDefault="00856B10" w:rsidP="00856B10">
      <w:pPr>
        <w:pStyle w:val="a5"/>
        <w:numPr>
          <w:ilvl w:val="0"/>
          <w:numId w:val="5"/>
        </w:numPr>
        <w:suppressAutoHyphens w:val="0"/>
        <w:spacing w:line="256" w:lineRule="auto"/>
        <w:ind w:left="0" w:firstLine="0"/>
        <w:jc w:val="center"/>
        <w:rPr>
          <w:rFonts w:eastAsia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характеристика сценария социально-экономического развития</w:t>
      </w:r>
    </w:p>
    <w:p w:rsidR="00856B10" w:rsidRPr="00856B10" w:rsidRDefault="00856B10" w:rsidP="00856B10">
      <w:pPr>
        <w:jc w:val="center"/>
        <w:rPr>
          <w:b/>
          <w:bCs/>
          <w:sz w:val="24"/>
          <w:szCs w:val="28"/>
        </w:rPr>
      </w:pP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Основные направления социально-экономического развития города Югорска                            на долгосрочную перспективу определены на основе приоритетов, сформулированных в Указе Президента Российской Федерации от 07.05.2018 № 204 «О национальных целях                                 и стратегических задачах развития Российской Федерации на период до 2024 года», Стратегии социально-экономического развития муниципального образования город Югорск до 2030 года.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Сценарии развития соответствуют долгосрочному прогнозу социально-экономического развития Ханты-Мансийского автономного округа - Югры.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долгосрочную перспективу выделяются 2 варианта сценария социально-экономического развития - базовый и целевой. 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Базовый вариант (вариант 1) характеризует развитие экономики в условиях сохранения консервативных тенденций, </w:t>
      </w:r>
      <w:r>
        <w:rPr>
          <w:sz w:val="24"/>
          <w:szCs w:val="24"/>
          <w:lang w:eastAsia="ru-RU"/>
        </w:rPr>
        <w:t>исходит из относительно устойчивой комбинации внешних                        и внутренних условий, позволяющей сохранить достигнутые показатели социально-экономического развития территории.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Экономический рост по базовому варианту прогноза будет обеспечиваться увеличением инвестиций в основной капитал.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Целевой вариант (вариант 2) предполагает выход экономики на траекторию устойчивого роста, стабилизацию инфляции при одновременном обеспечении макроэкономической сбалансированности.</w:t>
      </w:r>
    </w:p>
    <w:p w:rsidR="00856B10" w:rsidRDefault="00856B10" w:rsidP="00856B10">
      <w:pPr>
        <w:tabs>
          <w:tab w:val="left" w:pos="142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При данном </w:t>
      </w:r>
      <w:r>
        <w:rPr>
          <w:rFonts w:eastAsia="Calibri"/>
          <w:sz w:val="24"/>
          <w:szCs w:val="24"/>
        </w:rPr>
        <w:t xml:space="preserve">сценарии развития города ресурсы будут сконцентрированы не только                     на </w:t>
      </w:r>
      <w:r>
        <w:rPr>
          <w:sz w:val="24"/>
          <w:szCs w:val="24"/>
          <w:lang w:eastAsia="ru-RU"/>
        </w:rPr>
        <w:t>существующих точках роста, но и на создании условий для появления новых источников развития экономической и социальной сферы города Югорска.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долгосрочного бюджетного планирования предлагается базовый вариант, результатом реализации которого станет достижение стратегических целей социально-экономического развития города Югорска.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</w:p>
    <w:p w:rsidR="00856B10" w:rsidRDefault="00856B10" w:rsidP="00856B10">
      <w:pPr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2</w:t>
      </w:r>
    </w:p>
    <w:p w:rsidR="00856B10" w:rsidRDefault="00856B10" w:rsidP="00856B10">
      <w:pPr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показатели прогноза</w:t>
      </w:r>
    </w:p>
    <w:p w:rsidR="00856B10" w:rsidRDefault="00856B10" w:rsidP="00856B10">
      <w:pPr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социально-экономического развития города Югорска до 2036 года</w:t>
      </w:r>
    </w:p>
    <w:p w:rsidR="00856B10" w:rsidRDefault="00856B10" w:rsidP="00856B10">
      <w:pPr>
        <w:ind w:firstLine="709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1134"/>
        <w:gridCol w:w="1275"/>
        <w:gridCol w:w="1276"/>
      </w:tblGrid>
      <w:tr w:rsidR="00C76CE5" w:rsidTr="00C76C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b/>
                <w:lang w:eastAsia="ru-RU"/>
              </w:rPr>
            </w:pPr>
            <w:r w:rsidRPr="00C76CE5">
              <w:rPr>
                <w:b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b/>
                <w:lang w:eastAsia="ru-RU"/>
              </w:rPr>
            </w:pPr>
            <w:r w:rsidRPr="00C76CE5">
              <w:rPr>
                <w:b/>
                <w:lang w:eastAsia="ru-RU"/>
              </w:rPr>
              <w:t>Варианты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b/>
                <w:lang w:eastAsia="ru-RU"/>
              </w:rPr>
            </w:pPr>
            <w:r w:rsidRPr="00C76CE5">
              <w:rPr>
                <w:b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b/>
                <w:lang w:eastAsia="ru-RU"/>
              </w:rPr>
            </w:pPr>
            <w:r w:rsidRPr="00C76CE5">
              <w:rPr>
                <w:b/>
                <w:lang w:eastAsia="ru-RU"/>
              </w:rPr>
              <w:t>2020-2024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b/>
                <w:lang w:eastAsia="ru-RU"/>
              </w:rPr>
            </w:pPr>
            <w:r w:rsidRPr="00C76CE5">
              <w:rPr>
                <w:b/>
                <w:lang w:eastAsia="ru-RU"/>
              </w:rPr>
              <w:t>2025-2030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b/>
                <w:lang w:eastAsia="ru-RU"/>
              </w:rPr>
            </w:pPr>
            <w:r w:rsidRPr="00C76CE5">
              <w:rPr>
                <w:b/>
                <w:lang w:eastAsia="ru-RU"/>
              </w:rPr>
              <w:t>2031-2036</w:t>
            </w:r>
          </w:p>
        </w:tc>
      </w:tr>
      <w:tr w:rsidR="00C76CE5" w:rsidTr="00C76C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>
            <w:pPr>
              <w:rPr>
                <w:lang w:eastAsia="ru-RU"/>
              </w:rPr>
            </w:pPr>
            <w:r>
              <w:rPr>
                <w:lang w:eastAsia="ru-RU"/>
              </w:rPr>
              <w:t>Индекс потребительских цен (декабрь к декабрю),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104</w:t>
            </w:r>
          </w:p>
        </w:tc>
      </w:tr>
      <w:tr w:rsidR="00C76CE5" w:rsidTr="00C76C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Индекс промышленного производства,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100,7</w:t>
            </w:r>
          </w:p>
        </w:tc>
      </w:tr>
      <w:tr w:rsidR="00C76CE5" w:rsidTr="00C76C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Инвестиции в основной капитал (без субъектов малого предпринимательства),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100,6</w:t>
            </w:r>
          </w:p>
        </w:tc>
      </w:tr>
      <w:tr w:rsidR="00C76CE5" w:rsidTr="00C76C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Реальная заработная плата,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</w:tr>
      <w:tr w:rsidR="00C76CE5" w:rsidTr="00C76C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Уровень зарегистрированной безработицы,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0,71-0,74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0,65-0,69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0,63-0,59</w:t>
            </w:r>
          </w:p>
        </w:tc>
      </w:tr>
    </w:tbl>
    <w:p w:rsidR="00856B10" w:rsidRPr="00856B10" w:rsidRDefault="00856B10" w:rsidP="00856B10">
      <w:pPr>
        <w:pStyle w:val="a5"/>
        <w:ind w:left="0"/>
        <w:rPr>
          <w:rFonts w:eastAsia="Calibri"/>
          <w:b/>
          <w:bCs/>
          <w:sz w:val="28"/>
          <w:szCs w:val="28"/>
          <w:lang w:eastAsia="en-US"/>
        </w:rPr>
      </w:pPr>
    </w:p>
    <w:p w:rsidR="00856B10" w:rsidRDefault="00856B10" w:rsidP="00856B10">
      <w:pPr>
        <w:pStyle w:val="a5"/>
        <w:numPr>
          <w:ilvl w:val="0"/>
          <w:numId w:val="5"/>
        </w:numPr>
        <w:suppressAutoHyphens w:val="0"/>
        <w:spacing w:line="256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макроэкономические параметры базового варианта прогноза</w:t>
      </w:r>
    </w:p>
    <w:p w:rsidR="00856B10" w:rsidRDefault="00856B10" w:rsidP="00856B10">
      <w:pPr>
        <w:jc w:val="center"/>
        <w:rPr>
          <w:b/>
          <w:bCs/>
          <w:sz w:val="24"/>
          <w:szCs w:val="24"/>
        </w:rPr>
      </w:pPr>
    </w:p>
    <w:p w:rsidR="00856B10" w:rsidRDefault="00856B10" w:rsidP="00856B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Демографическая ситуация</w:t>
      </w:r>
    </w:p>
    <w:p w:rsidR="00856B10" w:rsidRDefault="00856B10" w:rsidP="00856B10">
      <w:pPr>
        <w:jc w:val="both"/>
        <w:rPr>
          <w:b/>
          <w:bCs/>
          <w:sz w:val="28"/>
          <w:szCs w:val="28"/>
        </w:rPr>
      </w:pP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Основные направления демографической политики связаны с реализацией национального проекта «Демография» и соответствующих региональных проектов, направленных на создание условий  для доступности дошкольного образования детей                            в возрасте до 3 лет, повышения качества жизни старшего поколения и занятий физической культурой и спортом.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Значительное влияние на экономические процессы оказывает демографическая ситуация. При сохранении сложившихся тенденций естественного и миграционного движения в долгосрочном периоде к 2036 году среднегодовая численность населения может достичь 40,5 тыс. человек.  При этом в возрастной структуре населения будет увеличиваться доля населения трудоспособного и старше трудоспособного возрастов, что приведёт к дополнительным затратам на здравоохранение, социальную защиту, а также пенсионную систему. 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Улучшение демографической ситуации возможно за счет проведения активной политики по повышению уровня и качества жизни населения, развитие объектов социальной сферы и жилищного строительства.</w:t>
      </w:r>
    </w:p>
    <w:p w:rsidR="00856B10" w:rsidRDefault="00856B10" w:rsidP="00856B10">
      <w:pPr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Динамика показателей рождаемости в первой половине прогнозного периода характеризуется сокращением числа женщин репродуктивного возраста, которого достигли родившиеся в малочисленном поколении 90-х годов, и постепенным увеличением показателя после 2025 года в результате вступления в репродуктивный период поколения 2000-х годов.</w:t>
      </w:r>
    </w:p>
    <w:p w:rsidR="00856B10" w:rsidRDefault="00856B10" w:rsidP="00856B10">
      <w:pPr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lastRenderedPageBreak/>
        <w:t>Коэффициент естественного прироста населения в долгосрочном периоде составит 5,6                в расчете на 1000 человек населения к 2025 году и ожидается  его увеличение до 6,6 к 2036 году.</w:t>
      </w:r>
    </w:p>
    <w:p w:rsidR="00856B10" w:rsidRDefault="00856B10" w:rsidP="00856B10">
      <w:pPr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В прогнозном периоде будут происходить изменения возрастного состава населения: </w:t>
      </w:r>
    </w:p>
    <w:p w:rsidR="00856B10" w:rsidRDefault="00856B10" w:rsidP="00856B10">
      <w:pPr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- численность населения моложе трудоспособного возраста будет увеличиваться                           до 2025 года за счет высоких показателей рождаемости, наблюдаемых с середины 2000-х годов; </w:t>
      </w:r>
    </w:p>
    <w:p w:rsidR="00856B10" w:rsidRDefault="00856B10" w:rsidP="00856B10">
      <w:pPr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- «переходный период», предусмотренный изменением пенсионного законодательства, отразится на численности граждан трудоспособного возраста, число которых в абсолютном выражении будет увеличиваться.</w:t>
      </w:r>
    </w:p>
    <w:p w:rsidR="00856B10" w:rsidRDefault="00856B10" w:rsidP="00856B10">
      <w:pPr>
        <w:widowControl w:val="0"/>
        <w:numPr>
          <w:ilvl w:val="0"/>
          <w:numId w:val="3"/>
        </w:numPr>
        <w:autoSpaceDE w:val="0"/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Современные информационные технологии активно внедряются в сферу здравоохранения и оказывают положительное влияние на развитие новых способов организации медицинской помощи населению </w:t>
      </w:r>
      <w:r>
        <w:rPr>
          <w:sz w:val="24"/>
          <w:szCs w:val="24"/>
          <w:lang w:eastAsia="ru-RU"/>
        </w:rPr>
        <w:t>города Югорска</w:t>
      </w:r>
      <w:r>
        <w:rPr>
          <w:rFonts w:eastAsia="Calibri"/>
          <w:sz w:val="24"/>
          <w:szCs w:val="24"/>
          <w:lang w:eastAsia="zh-CN"/>
        </w:rPr>
        <w:t>.</w:t>
      </w:r>
    </w:p>
    <w:p w:rsidR="00856B10" w:rsidRDefault="00856B10" w:rsidP="00856B10">
      <w:pPr>
        <w:widowControl w:val="0"/>
        <w:numPr>
          <w:ilvl w:val="0"/>
          <w:numId w:val="3"/>
        </w:numPr>
        <w:autoSpaceDE w:val="0"/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Меры, направленные на повышение доступности и качества оказания специализированной, в том числе высокотехнологичной медицинской помощи будут способствовать снижению показателя смертности населения </w:t>
      </w:r>
      <w:r>
        <w:rPr>
          <w:sz w:val="24"/>
          <w:szCs w:val="24"/>
          <w:lang w:eastAsia="ru-RU"/>
        </w:rPr>
        <w:t>города Югорска</w:t>
      </w:r>
      <w:r>
        <w:rPr>
          <w:rFonts w:eastAsia="Calibri"/>
          <w:sz w:val="24"/>
          <w:szCs w:val="24"/>
          <w:lang w:eastAsia="zh-CN"/>
        </w:rPr>
        <w:t xml:space="preserve">. </w:t>
      </w:r>
    </w:p>
    <w:p w:rsidR="00856B10" w:rsidRDefault="00856B10" w:rsidP="00856B10">
      <w:pPr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В городе Югорске созданы условия для укрепления здоровья югорчан посредством комплексной системы медицинской помощи и единой профилактической среды.</w:t>
      </w:r>
    </w:p>
    <w:p w:rsidR="00856B10" w:rsidRDefault="00856B10" w:rsidP="00856B10">
      <w:pPr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Формирование системы мотивации граждан к здоровому образу жизни, включая здоровое питание и отказ от вредных привычек, создание для всех категорий и групп населения условий для занятий физической культурой и спортом,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обеспечение граждан качественными               и безопасными лекарственными средствами, будет способствовать увеличению ожидаемой продолжительности жизни при рождении на протяжении всего прогнозируемого периода. </w:t>
      </w:r>
    </w:p>
    <w:p w:rsidR="00856B10" w:rsidRDefault="00856B10" w:rsidP="00856B1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долгосрочной перспективе будет оставаться отрицательное сальдо миграционного движения населения. Предполагается, что ежегодная миграционная убыль населения будет осуществляться за счет молодых граждан, получающих образование в других регионах страны, с дальнейшим их трудоустройством.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Основной задачей в регулировании миграционных потоков является недопущение напряженности на местном рынке труда.</w:t>
      </w:r>
    </w:p>
    <w:p w:rsidR="00856B10" w:rsidRDefault="00856B10" w:rsidP="00856B10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Стратегической целью демографической политики в городе Югорске, как и в целом                 в регионе, является улучшение демографической ситуации на основе увеличения продолжительности жизни за счет укрепления здоровья населения, создания благоприятных условий для рождения и воспитания детей, оптимизации миграционных потоков.</w:t>
      </w:r>
    </w:p>
    <w:p w:rsidR="00856B10" w:rsidRPr="00856B10" w:rsidRDefault="00856B10" w:rsidP="00856B10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856B10" w:rsidRPr="00856B10" w:rsidRDefault="00856B10" w:rsidP="00856B10">
      <w:pPr>
        <w:jc w:val="center"/>
        <w:rPr>
          <w:b/>
          <w:bCs/>
          <w:sz w:val="24"/>
          <w:szCs w:val="24"/>
        </w:rPr>
      </w:pPr>
      <w:r w:rsidRPr="00856B10">
        <w:rPr>
          <w:b/>
          <w:bCs/>
          <w:sz w:val="24"/>
          <w:szCs w:val="24"/>
        </w:rPr>
        <w:t>Инвестиции в основной капитал</w:t>
      </w:r>
    </w:p>
    <w:p w:rsidR="00856B10" w:rsidRPr="00856B10" w:rsidRDefault="00856B10" w:rsidP="00856B10">
      <w:pPr>
        <w:jc w:val="both"/>
        <w:rPr>
          <w:sz w:val="24"/>
          <w:szCs w:val="24"/>
        </w:rPr>
      </w:pPr>
    </w:p>
    <w:p w:rsidR="00856B10" w:rsidRPr="00856B10" w:rsidRDefault="00856B10" w:rsidP="00856B10">
      <w:pPr>
        <w:ind w:firstLine="709"/>
        <w:jc w:val="both"/>
        <w:rPr>
          <w:sz w:val="24"/>
          <w:szCs w:val="24"/>
        </w:rPr>
      </w:pPr>
      <w:r w:rsidRPr="00856B10">
        <w:rPr>
          <w:sz w:val="24"/>
          <w:szCs w:val="24"/>
        </w:rPr>
        <w:t xml:space="preserve">Деятельность органов местного самоуправления по привлечению и наиболее эффективному использованию средств, вкладываемых на территории </w:t>
      </w:r>
      <w:r w:rsidRPr="00856B10">
        <w:rPr>
          <w:sz w:val="24"/>
          <w:szCs w:val="24"/>
          <w:lang w:eastAsia="ru-RU"/>
        </w:rPr>
        <w:t>города Югорска</w:t>
      </w:r>
      <w:r w:rsidRPr="00856B10">
        <w:rPr>
          <w:sz w:val="24"/>
          <w:szCs w:val="24"/>
        </w:rPr>
        <w:t>, составляет суть муниципальной </w:t>
      </w:r>
      <w:hyperlink r:id="rId8" w:history="1">
        <w:r w:rsidRPr="00856B10">
          <w:rPr>
            <w:rStyle w:val="a9"/>
            <w:color w:val="auto"/>
            <w:sz w:val="24"/>
            <w:szCs w:val="24"/>
            <w:u w:val="none"/>
          </w:rPr>
          <w:t>инвестиционной политики</w:t>
        </w:r>
      </w:hyperlink>
      <w:r w:rsidRPr="00856B10">
        <w:rPr>
          <w:sz w:val="24"/>
          <w:szCs w:val="24"/>
        </w:rPr>
        <w:t>.</w:t>
      </w:r>
    </w:p>
    <w:p w:rsidR="00856B10" w:rsidRPr="00856B10" w:rsidRDefault="00856B10" w:rsidP="00856B10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 xml:space="preserve">Основная цель </w:t>
      </w:r>
      <w:r w:rsidRPr="00856B10">
        <w:rPr>
          <w:sz w:val="24"/>
          <w:szCs w:val="24"/>
        </w:rPr>
        <w:t>муниципальной</w:t>
      </w:r>
      <w:r w:rsidRPr="00856B10">
        <w:rPr>
          <w:sz w:val="24"/>
          <w:szCs w:val="24"/>
          <w:lang w:eastAsia="ru-RU"/>
        </w:rPr>
        <w:t xml:space="preserve"> инвестиционной политики в прогнозном периоде - создание максимально комфортных условий для старта и ведения бизнес-проектов, а также формирование эффективной системы привлечения инвестиций.</w:t>
      </w:r>
    </w:p>
    <w:p w:rsidR="00856B10" w:rsidRPr="00856B10" w:rsidRDefault="00856B10" w:rsidP="00856B10">
      <w:pPr>
        <w:ind w:firstLine="709"/>
        <w:jc w:val="both"/>
        <w:rPr>
          <w:bCs/>
          <w:sz w:val="24"/>
          <w:szCs w:val="24"/>
          <w:lang w:eastAsia="ru-RU"/>
        </w:rPr>
      </w:pPr>
      <w:r w:rsidRPr="00856B10">
        <w:rPr>
          <w:bCs/>
          <w:sz w:val="24"/>
          <w:szCs w:val="24"/>
          <w:lang w:eastAsia="ru-RU"/>
        </w:rPr>
        <w:t>Основными задачами органов местного самоуправления в развитии инвестиционной сферы будут являться формирование эффективной системы поддержки инвестиционных проектов, предусматривающей существенное сокращение сроков и упрощение процедур предоставления земельных участков для реализации инвестиционных проектов, иных согласительных и разрешительных процедур по отношению к инвесторам. Кроме того, важным направлением для улучшения общего инвестиционного климата территории является развитие доступной для размещений производственных и иных объектов инфраструктуры.</w:t>
      </w:r>
    </w:p>
    <w:p w:rsidR="00856B10" w:rsidRPr="00856B10" w:rsidRDefault="00856B10" w:rsidP="00856B10">
      <w:pPr>
        <w:ind w:firstLine="709"/>
        <w:jc w:val="both"/>
        <w:rPr>
          <w:sz w:val="24"/>
          <w:szCs w:val="24"/>
          <w:lang w:eastAsia="en-US"/>
        </w:rPr>
      </w:pPr>
      <w:r w:rsidRPr="00856B10">
        <w:rPr>
          <w:sz w:val="24"/>
          <w:szCs w:val="24"/>
        </w:rPr>
        <w:t xml:space="preserve">На долгосрочный период определены следующие инвестиционные приоритеты:  </w:t>
      </w:r>
    </w:p>
    <w:p w:rsidR="00856B10" w:rsidRPr="00856B10" w:rsidRDefault="00856B10" w:rsidP="00856B10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856B10">
        <w:rPr>
          <w:bCs/>
          <w:sz w:val="24"/>
          <w:szCs w:val="24"/>
          <w:lang w:eastAsia="ru-RU"/>
        </w:rPr>
        <w:t xml:space="preserve">- развитие обрабатывающих производств: содействие </w:t>
      </w:r>
      <w:r w:rsidRPr="00856B10">
        <w:rPr>
          <w:sz w:val="24"/>
          <w:szCs w:val="24"/>
        </w:rPr>
        <w:t>развитию промышленности строительных материалов (железо-бетонных изделий, пиломатериалов и столярных изделий), реализации проектов по производству инновационных строительных материалов</w:t>
      </w:r>
      <w:r w:rsidRPr="00856B10">
        <w:rPr>
          <w:bCs/>
          <w:sz w:val="24"/>
          <w:szCs w:val="24"/>
          <w:lang w:eastAsia="ru-RU"/>
        </w:rPr>
        <w:t>;</w:t>
      </w:r>
    </w:p>
    <w:p w:rsidR="00856B10" w:rsidRPr="00856B10" w:rsidRDefault="00856B10" w:rsidP="00856B10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 xml:space="preserve">- создание условий для развития агропромышленного комплекса, стимулирование </w:t>
      </w:r>
      <w:r w:rsidRPr="00856B10">
        <w:rPr>
          <w:sz w:val="24"/>
          <w:szCs w:val="24"/>
          <w:lang w:eastAsia="ru-RU"/>
        </w:rPr>
        <w:lastRenderedPageBreak/>
        <w:t xml:space="preserve">развития малых форм хозяйствования (крестьянских (фермерских) хозяйств) с целью увеличения объемов производства продукции животноводства, в дальнейшем, при наличии возможных производителей, развития тепличных хозяйств, расширения ассортимента; </w:t>
      </w:r>
    </w:p>
    <w:p w:rsidR="00856B10" w:rsidRPr="00856B10" w:rsidRDefault="00856B10" w:rsidP="00856B10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>- развитие дорожно-транспортной инфраструктуры: создание условий для устойчивого развития сети автомобильных дорог местного значения, обеспечивающих повышение доступности и безопасности транспортных услуг (строительство, реконструкция</w:t>
      </w:r>
      <w:r>
        <w:rPr>
          <w:sz w:val="24"/>
          <w:szCs w:val="24"/>
          <w:lang w:eastAsia="ru-RU"/>
        </w:rPr>
        <w:t xml:space="preserve">                                 </w:t>
      </w:r>
      <w:r w:rsidRPr="00856B10">
        <w:rPr>
          <w:sz w:val="24"/>
          <w:szCs w:val="24"/>
          <w:lang w:eastAsia="ru-RU"/>
        </w:rPr>
        <w:t xml:space="preserve"> и капитальный ремонт автомобильных дорог, реконструкция объездной автомобильной дороги); формирования на территории города транспортно-логистического центра;</w:t>
      </w:r>
    </w:p>
    <w:p w:rsidR="00856B10" w:rsidRPr="00856B10" w:rsidRDefault="00856B10" w:rsidP="00856B10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 xml:space="preserve">- комплексная модернизация коммунальной инфраструктуры: внедрение малоэнергоемких технологий и энергоэффективных видов оборудования, технических средств и материалов, реконструкция котельных и инженерных сетей с заменой оборудования </w:t>
      </w:r>
      <w:r>
        <w:rPr>
          <w:sz w:val="24"/>
          <w:szCs w:val="24"/>
          <w:lang w:eastAsia="ru-RU"/>
        </w:rPr>
        <w:t xml:space="preserve">                       </w:t>
      </w:r>
      <w:r w:rsidRPr="00856B10">
        <w:rPr>
          <w:sz w:val="24"/>
          <w:szCs w:val="24"/>
          <w:lang w:eastAsia="ru-RU"/>
        </w:rPr>
        <w:t>и технологий для производства и передачи энергии; создание условий для развития экологической промышленности, включая модернизацию полигона твердых коммунальных отходов;</w:t>
      </w:r>
    </w:p>
    <w:p w:rsidR="00856B10" w:rsidRPr="00856B10" w:rsidRDefault="00856B10" w:rsidP="00856B10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 xml:space="preserve">- создание условий для развития событийного, спортивного, этнографического, экологического, экстремального, историко-познавательного, делового туризма; </w:t>
      </w:r>
    </w:p>
    <w:p w:rsidR="00856B10" w:rsidRPr="00856B10" w:rsidRDefault="00856B10" w:rsidP="00856B10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>- строительство объектов социальной сферы.</w:t>
      </w:r>
    </w:p>
    <w:p w:rsidR="00856B10" w:rsidRPr="00856B10" w:rsidRDefault="00856B10" w:rsidP="00856B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6B10">
        <w:rPr>
          <w:sz w:val="24"/>
          <w:szCs w:val="24"/>
        </w:rPr>
        <w:t xml:space="preserve">Точками роста социально-экономического развития города Югорска могут стать следующие проекты: </w:t>
      </w:r>
    </w:p>
    <w:p w:rsidR="00856B10" w:rsidRP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 w:rsidRPr="00856B10">
        <w:rPr>
          <w:sz w:val="24"/>
          <w:szCs w:val="24"/>
          <w:lang w:eastAsia="ru-RU"/>
        </w:rPr>
        <w:t>- «</w:t>
      </w:r>
      <w:r w:rsidRPr="00856B10">
        <w:rPr>
          <w:rFonts w:eastAsia="Calibri"/>
          <w:sz w:val="24"/>
          <w:szCs w:val="24"/>
        </w:rPr>
        <w:t>Создание частного индустриального парка на базе существующей строительной компании».</w:t>
      </w:r>
      <w:r w:rsidRPr="00856B10">
        <w:rPr>
          <w:rFonts w:eastAsia="Calibri"/>
          <w:b/>
          <w:sz w:val="24"/>
          <w:szCs w:val="24"/>
        </w:rPr>
        <w:t xml:space="preserve">  </w:t>
      </w:r>
      <w:r w:rsidRPr="00856B10">
        <w:rPr>
          <w:rFonts w:eastAsia="Calibri"/>
          <w:sz w:val="24"/>
          <w:szCs w:val="24"/>
        </w:rPr>
        <w:t>В результате реализации проекта должен появиться комплекс с готовыми производственными, офисными и складскими площадями, развитой инфраструктурой</w:t>
      </w:r>
      <w:r>
        <w:rPr>
          <w:rFonts w:eastAsia="Calibri"/>
          <w:sz w:val="24"/>
          <w:szCs w:val="24"/>
        </w:rPr>
        <w:t xml:space="preserve">                             </w:t>
      </w:r>
      <w:r w:rsidRPr="00856B10">
        <w:rPr>
          <w:rFonts w:eastAsia="Calibri"/>
          <w:sz w:val="24"/>
          <w:szCs w:val="24"/>
        </w:rPr>
        <w:t xml:space="preserve"> и необходимыми коммуникациями. Потенциальными резидентами парка могут быть производственные компании малого и среднего бизнеса, транспортно-логистические компании, торговля, строительные организации; </w:t>
      </w:r>
    </w:p>
    <w:p w:rsidR="00856B10" w:rsidRP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 w:rsidRPr="00856B10">
        <w:rPr>
          <w:sz w:val="24"/>
          <w:szCs w:val="24"/>
          <w:lang w:eastAsia="ru-RU"/>
        </w:rPr>
        <w:t>- «</w:t>
      </w:r>
      <w:r w:rsidRPr="00856B10">
        <w:rPr>
          <w:rFonts w:eastAsia="Calibri"/>
          <w:sz w:val="24"/>
          <w:szCs w:val="24"/>
        </w:rPr>
        <w:t>Строительство и модернизация крупного животноводческого комплекса в городе Югорске»</w:t>
      </w:r>
      <w:r w:rsidRPr="00856B10">
        <w:rPr>
          <w:rFonts w:eastAsia="Calibri"/>
          <w:b/>
          <w:sz w:val="24"/>
          <w:szCs w:val="24"/>
        </w:rPr>
        <w:t xml:space="preserve">. </w:t>
      </w:r>
      <w:r w:rsidRPr="00856B10">
        <w:rPr>
          <w:rFonts w:eastAsia="Calibri"/>
          <w:sz w:val="24"/>
          <w:szCs w:val="24"/>
        </w:rPr>
        <w:t>Планируется полная газификация комплекса, автоматизация производственного процесса с установкой линии высокотехнологичного молокопровода на 100 голов, системы автоматического кормления с индивидуальным дозированием, ввод в эксплуатацию птичника на 45 тыс. голов с мощностью 14 млн. яиц в год;</w:t>
      </w:r>
    </w:p>
    <w:p w:rsidR="00856B10" w:rsidRPr="00856B10" w:rsidRDefault="00856B10" w:rsidP="00856B10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>- «Модернизация лесоперерабатывающего производства о</w:t>
      </w:r>
      <w:r w:rsidRPr="00856B10">
        <w:rPr>
          <w:rFonts w:eastAsia="Calibri"/>
          <w:sz w:val="24"/>
          <w:szCs w:val="24"/>
        </w:rPr>
        <w:t>бщества с ограниченной ответственностью</w:t>
      </w:r>
      <w:r w:rsidRPr="00856B10">
        <w:rPr>
          <w:sz w:val="24"/>
          <w:szCs w:val="24"/>
          <w:lang w:eastAsia="ru-RU"/>
        </w:rPr>
        <w:t xml:space="preserve"> «Тайга»» (глубокая переработка древесины, отходов лесопромышленного производства);</w:t>
      </w:r>
    </w:p>
    <w:p w:rsidR="00856B10" w:rsidRPr="00856B10" w:rsidRDefault="00856B10" w:rsidP="00856B10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 xml:space="preserve">- «Музейно-туристический комплекс  «Ворота в Югру» на территории музея под открытым небом «Суеват-пауль». </w:t>
      </w:r>
    </w:p>
    <w:p w:rsidR="00856B10" w:rsidRPr="00856B10" w:rsidRDefault="00856B10" w:rsidP="00856B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6B10">
        <w:rPr>
          <w:sz w:val="24"/>
          <w:szCs w:val="24"/>
        </w:rPr>
        <w:t xml:space="preserve">Важным направлением инвестиционной политики органов местного самоуправления является работа по включению инвестиционных проектов, необходимых для жизнеобеспечения </w:t>
      </w:r>
      <w:r w:rsidRPr="00856B10">
        <w:rPr>
          <w:sz w:val="24"/>
          <w:szCs w:val="24"/>
          <w:lang w:eastAsia="ru-RU"/>
        </w:rPr>
        <w:t>города Югорска</w:t>
      </w:r>
      <w:r w:rsidRPr="00856B10">
        <w:rPr>
          <w:sz w:val="24"/>
          <w:szCs w:val="24"/>
        </w:rPr>
        <w:t xml:space="preserve">, в государственные программы. Эта работа особенно актуальна для таких сфер, как снос ветхого жилья, коммунальная энергетика, социальная сфера. Мероприятия государственных программ финансируются из бюджетов нескольких уровней на основе долевого участия. </w:t>
      </w:r>
    </w:p>
    <w:p w:rsidR="00856B10" w:rsidRP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>Стратегической целью государственной жилищной политики реализуемой</w:t>
      </w:r>
      <w:r>
        <w:rPr>
          <w:sz w:val="24"/>
          <w:szCs w:val="24"/>
          <w:lang w:eastAsia="ru-RU"/>
        </w:rPr>
        <w:t xml:space="preserve">                              </w:t>
      </w:r>
      <w:r w:rsidRPr="00856B10">
        <w:rPr>
          <w:sz w:val="24"/>
          <w:szCs w:val="24"/>
          <w:lang w:eastAsia="ru-RU"/>
        </w:rPr>
        <w:t xml:space="preserve"> на территории города Югорска является обеспечение доступности жильем для всех категорий граждан, с акцентированием внимания на обеспечение жильем малоимущих граждан, многодетных семей и других отдельных категорий, сокращение доли аварийного и ветхого жилья.  </w:t>
      </w:r>
    </w:p>
    <w:p w:rsidR="00856B10" w:rsidRPr="00856B10" w:rsidRDefault="00856B10" w:rsidP="00856B10">
      <w:pPr>
        <w:ind w:firstLine="709"/>
        <w:jc w:val="both"/>
        <w:rPr>
          <w:sz w:val="24"/>
          <w:szCs w:val="24"/>
        </w:rPr>
      </w:pPr>
      <w:r w:rsidRPr="00856B10">
        <w:rPr>
          <w:sz w:val="24"/>
          <w:szCs w:val="24"/>
        </w:rPr>
        <w:t xml:space="preserve">Существует необходимость дополнительного создания учебных мест для перехода </w:t>
      </w:r>
      <w:r>
        <w:rPr>
          <w:sz w:val="24"/>
          <w:szCs w:val="24"/>
        </w:rPr>
        <w:t xml:space="preserve">                  </w:t>
      </w:r>
      <w:r w:rsidRPr="00856B10">
        <w:rPr>
          <w:sz w:val="24"/>
          <w:szCs w:val="24"/>
        </w:rPr>
        <w:t>в односменный режим работы общеобразовательных учреждений. В перспективе планируется строительство новых школ мощностью 900, 500 и 900 мест.</w:t>
      </w:r>
    </w:p>
    <w:p w:rsidR="00856B10" w:rsidRPr="00856B10" w:rsidRDefault="00856B10" w:rsidP="00856B10">
      <w:pPr>
        <w:ind w:firstLine="709"/>
        <w:jc w:val="both"/>
        <w:rPr>
          <w:sz w:val="24"/>
          <w:szCs w:val="24"/>
        </w:rPr>
      </w:pPr>
      <w:r w:rsidRPr="00856B10">
        <w:rPr>
          <w:sz w:val="24"/>
          <w:szCs w:val="24"/>
        </w:rPr>
        <w:t xml:space="preserve">Реализация приоритетного национального проекта «Развитие малого и среднего предпринимательства» на территории </w:t>
      </w:r>
      <w:r w:rsidRPr="00856B10">
        <w:rPr>
          <w:sz w:val="24"/>
          <w:szCs w:val="24"/>
          <w:lang w:eastAsia="ru-RU"/>
        </w:rPr>
        <w:t>города Югорска</w:t>
      </w:r>
      <w:r w:rsidRPr="00856B10">
        <w:rPr>
          <w:sz w:val="24"/>
          <w:szCs w:val="24"/>
        </w:rPr>
        <w:t xml:space="preserve"> будет способствовать созданию благоприятных условий для предпринимательской деятельности, </w:t>
      </w:r>
      <w:r w:rsidRPr="00856B10">
        <w:rPr>
          <w:sz w:val="24"/>
          <w:szCs w:val="24"/>
          <w:lang w:eastAsia="ru-RU"/>
        </w:rPr>
        <w:t xml:space="preserve">организация новых </w:t>
      </w:r>
      <w:r>
        <w:rPr>
          <w:sz w:val="24"/>
          <w:szCs w:val="24"/>
          <w:lang w:eastAsia="ru-RU"/>
        </w:rPr>
        <w:t xml:space="preserve">                           </w:t>
      </w:r>
      <w:r w:rsidRPr="00856B10">
        <w:rPr>
          <w:sz w:val="24"/>
          <w:szCs w:val="24"/>
          <w:lang w:eastAsia="ru-RU"/>
        </w:rPr>
        <w:t>и развитие существующих предприятий малого и среднего бизнеса и, соответственно, увеличению частных инвестиций в экономику города.</w:t>
      </w:r>
    </w:p>
    <w:p w:rsidR="00856B10" w:rsidRPr="00856B10" w:rsidRDefault="00856B10" w:rsidP="00856B10">
      <w:pPr>
        <w:tabs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>В долгосрочном прогнозе заложен равномерный прирост объемов инвестиций</w:t>
      </w:r>
      <w:r>
        <w:rPr>
          <w:sz w:val="24"/>
          <w:szCs w:val="24"/>
          <w:lang w:eastAsia="ru-RU"/>
        </w:rPr>
        <w:t xml:space="preserve">                             </w:t>
      </w:r>
      <w:r w:rsidRPr="00856B10">
        <w:rPr>
          <w:sz w:val="24"/>
          <w:szCs w:val="24"/>
          <w:lang w:eastAsia="ru-RU"/>
        </w:rPr>
        <w:t xml:space="preserve"> в основной капитал. </w:t>
      </w:r>
    </w:p>
    <w:p w:rsidR="00856B10" w:rsidRPr="00856B10" w:rsidRDefault="00856B10" w:rsidP="00856B10">
      <w:pPr>
        <w:ind w:firstLine="709"/>
        <w:jc w:val="both"/>
        <w:rPr>
          <w:sz w:val="24"/>
          <w:szCs w:val="24"/>
          <w:lang w:eastAsia="en-US"/>
        </w:rPr>
      </w:pPr>
      <w:r w:rsidRPr="00856B10">
        <w:rPr>
          <w:bCs/>
          <w:sz w:val="24"/>
          <w:szCs w:val="24"/>
          <w:lang w:eastAsia="ru-RU"/>
        </w:rPr>
        <w:lastRenderedPageBreak/>
        <w:t>Динамика инвестиций в основной капитал в долгосрочном периоде будет определяться объемами средств предприятий, направляемых на модернизацию и развитие производства,</w:t>
      </w:r>
      <w:r>
        <w:rPr>
          <w:bCs/>
          <w:sz w:val="24"/>
          <w:szCs w:val="24"/>
          <w:lang w:eastAsia="ru-RU"/>
        </w:rPr>
        <w:t xml:space="preserve">                  </w:t>
      </w:r>
      <w:r w:rsidRPr="00856B10">
        <w:rPr>
          <w:bCs/>
          <w:sz w:val="24"/>
          <w:szCs w:val="24"/>
          <w:lang w:eastAsia="ru-RU"/>
        </w:rPr>
        <w:t xml:space="preserve"> а также бюджетными капитальными вложениями в инфраструктурные объекты, отрасли, связанные с развитием человеческого капитала, жилищное строительство.  </w:t>
      </w:r>
    </w:p>
    <w:p w:rsidR="00856B10" w:rsidRPr="00856B10" w:rsidRDefault="00856B10" w:rsidP="00856B10">
      <w:pPr>
        <w:jc w:val="center"/>
        <w:rPr>
          <w:b/>
          <w:bCs/>
          <w:sz w:val="24"/>
          <w:szCs w:val="24"/>
        </w:rPr>
      </w:pPr>
    </w:p>
    <w:p w:rsidR="00856B10" w:rsidRPr="00856B10" w:rsidRDefault="00856B10" w:rsidP="00856B10">
      <w:pPr>
        <w:jc w:val="center"/>
        <w:rPr>
          <w:b/>
          <w:bCs/>
          <w:sz w:val="24"/>
          <w:szCs w:val="24"/>
        </w:rPr>
      </w:pPr>
      <w:r w:rsidRPr="00856B10">
        <w:rPr>
          <w:b/>
          <w:bCs/>
          <w:sz w:val="24"/>
          <w:szCs w:val="24"/>
        </w:rPr>
        <w:t>Рынок труда</w:t>
      </w:r>
    </w:p>
    <w:p w:rsidR="00856B10" w:rsidRPr="00856B10" w:rsidRDefault="00856B10" w:rsidP="00856B10">
      <w:pPr>
        <w:jc w:val="center"/>
        <w:rPr>
          <w:b/>
          <w:bCs/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 w:rsidRPr="00856B10">
        <w:rPr>
          <w:rFonts w:eastAsia="Calibri"/>
          <w:sz w:val="24"/>
          <w:szCs w:val="24"/>
        </w:rPr>
        <w:t>Ситуация на рынке труда определяется демографическими</w:t>
      </w:r>
      <w:r>
        <w:rPr>
          <w:rFonts w:eastAsia="Calibri"/>
          <w:sz w:val="24"/>
          <w:szCs w:val="24"/>
        </w:rPr>
        <w:t xml:space="preserve"> тенденциями, деятельностью крупных и средних предприятий города, развитием сферы малого и среднего бизнеса, а также реализацией мер по трудоустройству и повышению конкурентоспособности незанятого населения.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Преобладающая часть занятого населения сосредоточена в крупных и средних предприятиях города, одним из которых является градообразующее предприятие – общество                 с ограниченной ответственностью  «Газпром трансгаз Югорск», обеспечивающее стабильность и сохранение рабочих мест. 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По-прежнему остается сложным трудоустройство граждан отдельных социально-демографических групп (молодежь без практического опыта работы, отдельные контингенты женского населения, инвалиды). 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и местном рынке труда, может стать одним из направлений, обеспечивающих снижение уровня безработицы за счет выпускников учебных заведений профессионального образования. </w:t>
      </w:r>
    </w:p>
    <w:p w:rsidR="00856B10" w:rsidRDefault="00856B10" w:rsidP="00856B10">
      <w:pPr>
        <w:widowControl w:val="0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В связи с этим задача в прогнозный период - создать условия на рынке труда                              и образовательных услуг, при которых минимизировать негативные процессы от возможного роста безработицы, вызванные технической модернизацией организаций, их перепрофилированием, а также повышением пенсионного возраста.</w:t>
      </w:r>
    </w:p>
    <w:p w:rsidR="00856B10" w:rsidRDefault="00856B10" w:rsidP="00856B10">
      <w:pPr>
        <w:widowControl w:val="0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Решение этой задачи - своевременная подготовка (переподготовка) высококвалифицированных специалистов, востребованных субъектами экономической деятельности города Югорска. </w:t>
      </w:r>
    </w:p>
    <w:p w:rsidR="00856B10" w:rsidRDefault="00856B10" w:rsidP="00856B10">
      <w:pPr>
        <w:widowControl w:val="0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К оказанию гражданам услуг по организации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по организации сопровождения при содействии занятости инвалидов и по самозанятости, а также по организации ярмарок вакансий и учебных рабочих мест планируется привлекать негосударственных поставщиков, в том числе социально ориентированные некоммерческие организации.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  <w:highlight w:val="yellow"/>
          <w:lang w:eastAsia="en-US"/>
        </w:rPr>
      </w:pPr>
      <w:r>
        <w:rPr>
          <w:rFonts w:eastAsia="Calibri"/>
          <w:sz w:val="24"/>
          <w:szCs w:val="24"/>
        </w:rPr>
        <w:t xml:space="preserve">Развитие рынка труда в долгосрочной перспективе будет направлено на увеличение занятости населения, путем создания новых рабочих через реализацию инвестиционных проектов, включая сектор малого и среднего предпринимательства. 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Снижение уровня безработицы будет происходить за счет повышения активности населения в самостоятельном поиске работы, проявления предпринимательской инициативы по открытию собственного дела, создания новых рабочих мест в действующих организациях.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Стратегической целью в области развития рынка труда в долгосрочной перспективе является создание условий для обеспечения экономики высокопрофессиональными кадрами и повышения эффективности их использования. Важнейшим условием в реализации данных целей станет сбалансированность местного рынка труда и создание условий для профессиональной и территориальной мобильности населения.</w:t>
      </w:r>
    </w:p>
    <w:p w:rsidR="00856B10" w:rsidRPr="00856B10" w:rsidRDefault="00856B10" w:rsidP="00856B10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56B10" w:rsidRDefault="00856B10" w:rsidP="00856B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Денежные доходы населения</w:t>
      </w:r>
    </w:p>
    <w:p w:rsidR="00856B10" w:rsidRDefault="00856B10" w:rsidP="00856B10">
      <w:pPr>
        <w:jc w:val="center"/>
        <w:rPr>
          <w:b/>
          <w:bCs/>
          <w:sz w:val="28"/>
          <w:szCs w:val="28"/>
        </w:rPr>
      </w:pP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Важнейшим показателем благосостояния общества служит уровень доходов населения.    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Рост доходов населения будет обеспечиваться, прежде всего, доходами от занятости населения, предпринимательской деятельности и иных социальных выплат.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  <w:highlight w:val="yellow"/>
        </w:rPr>
      </w:pPr>
      <w:r>
        <w:rPr>
          <w:rFonts w:eastAsia="Calibri"/>
          <w:sz w:val="24"/>
          <w:szCs w:val="24"/>
        </w:rPr>
        <w:t xml:space="preserve">В структуре доходов заработная плата является основным источником доходов населения. 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На протяжении ряда лет отмечается стабильный рост заработной платы работников крупных и средних предприятий и организаций города Югорска. Среднемесячная номинальная начисленная заработная плата работников крупных и средних организаций города выше среднего значения по Ханты-Мансийскому автономному округу - Югре. </w:t>
      </w:r>
    </w:p>
    <w:p w:rsidR="00856B10" w:rsidRPr="00856B10" w:rsidRDefault="00856B10" w:rsidP="00856B10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 долгосрочной перспективе повышению реальных располагаемых денежных доходов населения будет способствовать устойчивый экономический рост, увеличение трудовых доходов граждан, низкий уровень инфляции, а также динамика изменения численности работающего населения, которая в базовом варианте с 2019 года будет иметь тенденцию роста.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Росту доходов населения и снижению уровня бедности в долгосрочной перспективе будут способствовать: </w:t>
      </w:r>
    </w:p>
    <w:p w:rsidR="00856B10" w:rsidRDefault="00856B10" w:rsidP="00856B10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- создание высокопроизводительных рабочих мест;</w:t>
      </w:r>
    </w:p>
    <w:p w:rsidR="00856B10" w:rsidRDefault="00856B10" w:rsidP="00856B10">
      <w:pPr>
        <w:widowControl w:val="0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- система дополнительного пенсионного обеспечения;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-  совершенствование механизмов адресной социальной защиты и системы социального обслуживания граждан; 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- предоставление гражданам пособий, выплат и других мер социальной поддержки, предусмотренных законодательством; 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- ежегодная индексация социальных выплат с учетом уровня инфляции; 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- развитие практики применения социального контракта, предусматривающего взаимные обязательства государства и получателей социальной помощи.</w:t>
      </w:r>
    </w:p>
    <w:p w:rsidR="00856B10" w:rsidRPr="00856B10" w:rsidRDefault="00856B10" w:rsidP="00856B1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56B10" w:rsidRDefault="00856B10" w:rsidP="00856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Производство товаров и услуг</w:t>
      </w:r>
    </w:p>
    <w:p w:rsidR="00856B10" w:rsidRDefault="00856B10" w:rsidP="00856B10">
      <w:pPr>
        <w:ind w:firstLine="709"/>
        <w:contextualSpacing/>
        <w:jc w:val="both"/>
        <w:rPr>
          <w:rFonts w:eastAsia="Calibri"/>
          <w:sz w:val="24"/>
          <w:szCs w:val="24"/>
        </w:rPr>
      </w:pPr>
    </w:p>
    <w:p w:rsidR="00856B10" w:rsidRDefault="00856B10" w:rsidP="00856B10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Наибольший объем отгруженных товаров собственного производства, работ и услуг, оказанных собственными силами предприятий, приходится на вид деятельности «транспортирование по трубопроводам газа и продуктов его переработки». </w:t>
      </w:r>
    </w:p>
    <w:p w:rsidR="00856B10" w:rsidRDefault="00856B10" w:rsidP="00856B10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Кроме того, на территории города крупные и средние предприятия осуществляют деятельность в обрабатывающих производствах и выработке энергоресурсов, потребительском рынке и жилищно-коммунальном хозяйстве, социальной сфере. 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Несмотря на некоторое замедление темпов роста в последние ряд лет, особенно это коснулось строительной сферы, в долгосрочной перспективе ожидается устойчивый рост объемов производства и реализации услуг.  Основным фактором экономического роста                         в долгосрочной перспективе останется развитие таких отраслей, как транспорт газа, энергетика, обеспечение населения потребительскими и социальными услугами, а также повышения качественного уровня обрабатывающих отраслей, развитие сектора малого предпринимательства.  </w:t>
      </w:r>
    </w:p>
    <w:p w:rsidR="00856B10" w:rsidRPr="00856B10" w:rsidRDefault="00856B10" w:rsidP="00856B10">
      <w:pPr>
        <w:jc w:val="center"/>
        <w:rPr>
          <w:rFonts w:eastAsia="Calibri"/>
          <w:b/>
          <w:bCs/>
          <w:sz w:val="28"/>
          <w:szCs w:val="28"/>
        </w:rPr>
      </w:pPr>
    </w:p>
    <w:p w:rsidR="00856B10" w:rsidRDefault="00856B10" w:rsidP="00856B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Промышленность</w:t>
      </w:r>
    </w:p>
    <w:p w:rsidR="00856B10" w:rsidRDefault="00856B10" w:rsidP="00856B10">
      <w:pPr>
        <w:jc w:val="center"/>
        <w:rPr>
          <w:b/>
          <w:bCs/>
          <w:sz w:val="28"/>
          <w:szCs w:val="28"/>
        </w:rPr>
      </w:pPr>
    </w:p>
    <w:p w:rsidR="00856B10" w:rsidRDefault="00856B10" w:rsidP="00856B10">
      <w:pPr>
        <w:pStyle w:val="a5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Территорию </w:t>
      </w:r>
      <w:r>
        <w:rPr>
          <w:sz w:val="24"/>
          <w:szCs w:val="24"/>
          <w:lang w:eastAsia="ru-RU"/>
        </w:rPr>
        <w:t>города Югорска</w:t>
      </w:r>
      <w:r>
        <w:rPr>
          <w:sz w:val="24"/>
          <w:szCs w:val="24"/>
        </w:rPr>
        <w:t xml:space="preserve"> отличает довольно низкая дифференциация обрабатывающих производств (промышленное производство) - индикатор развития любой территории.</w:t>
      </w:r>
    </w:p>
    <w:p w:rsidR="00856B10" w:rsidRDefault="00856B10" w:rsidP="00856B10">
      <w:pPr>
        <w:numPr>
          <w:ilvl w:val="0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структуре промышленного производства крупные и средние обрабатывающие предприятия осуществляют услуги по ремонту и монтажу машин и оборудования                                 и занимаются производством пищевой продукции. Сектор обрабатывающего производства составляет порядка 40% от общего объема промышленной продукции. Остальная часть приходится на обеспечение энергоресурсами населения, оказание услуг по водоснабжению, водоотведению, организации сбора и утилизации отходов. </w:t>
      </w:r>
    </w:p>
    <w:p w:rsidR="00856B10" w:rsidRDefault="00856B10" w:rsidP="00856B10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В прогнозном периоде, в целом предполагается сохранение достигнутых объемов производства и реализации продукции и услуг промышленного характера, а при благоприятных условиях - рост показателей имеющихся производств. </w:t>
      </w:r>
    </w:p>
    <w:p w:rsidR="00856B10" w:rsidRPr="00856B10" w:rsidRDefault="00856B10" w:rsidP="00856B10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Несмотря на то, что в общем объеме отгруженных товаров собственного производства, выполненных работ и услуг по основным видам экономической деятельности доля объема промышленного производства довольно незначительна и составляет всего 0,5%, развитие промышленного производства на долгосрочную перспективу является одним из приоритетных направлений социально-экономического развития </w:t>
      </w:r>
      <w:r>
        <w:rPr>
          <w:sz w:val="24"/>
          <w:szCs w:val="24"/>
          <w:lang w:eastAsia="ru-RU"/>
        </w:rPr>
        <w:t>города Югорска</w:t>
      </w:r>
      <w:r>
        <w:rPr>
          <w:sz w:val="24"/>
          <w:szCs w:val="24"/>
        </w:rPr>
        <w:t xml:space="preserve">. Данный сектор экономики позволяет обеспечить стабильное развитие территории, предполагает сохранение и создание </w:t>
      </w:r>
      <w:r>
        <w:rPr>
          <w:sz w:val="24"/>
          <w:szCs w:val="24"/>
        </w:rPr>
        <w:lastRenderedPageBreak/>
        <w:t>новых квалифицированных рабочих мест, тем самым вносит большой вклад в общее социально-экономическое развитие города.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Субъектами малого предпринимательства производятся колбасные изделия, мясные полуфабрикаты, охлажденное мясо, молочная продукция, хлеб и хлебобулочные изделия, осуществляется деревообрабатывающее производство, производятся гусеничные снегоболотоходы, строительные материалы и металлоизделия. </w:t>
      </w:r>
    </w:p>
    <w:p w:rsidR="00856B10" w:rsidRPr="00856B10" w:rsidRDefault="00856B10" w:rsidP="00856B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Дальнейшее развитие промышленного производства возможно за счет привлечения                         в данную сферу частных инвесторов, развития малого и среднего предпринимательства. 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Перспективными направлениями могут стать: реализация проектов по производству инновационных строительных материалов и внедрению инновационных технологий строительства, организация производства битума для дорожного строительства, лесопереработка, строительство межмуниципального современного мусоросжигательного завода, развитие пищевой промышленности, увеличение ассортимента выпускаемой продукции, возможно, развитие торфодобычи, добычи песка.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Обеспечить развитие данного направления может создание индустриального парка, позволяющего организовать на территории города Югорска небольшие современные производства. </w:t>
      </w:r>
    </w:p>
    <w:p w:rsidR="00856B10" w:rsidRDefault="00856B10" w:rsidP="00856B10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Новая промышленная политика Ханты-Мансийского автономного округа - Югры опирается на зональные закономерности развития: для города Югорска, относящегося                         к староосвоенной зоне, актуальными являются поддержка интеллектуального производственного и сервисного бизнеса всех размеров (с акцентом на развитие производств обрабатывающей и перерабатывающей промышленности нового типа), и их «уплотнения»/концентрации на площадках индустриальных парков. 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Оказание государственной поддержки обрабатывающих отраслей промышленности путем реализации финансовых, имущественных и институциональных мер должно стать одним из основных механизмов повышения конкурентоспособности промышленного производства. </w:t>
      </w:r>
    </w:p>
    <w:p w:rsidR="00856B10" w:rsidRPr="00856B10" w:rsidRDefault="00856B10" w:rsidP="00856B10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56B10" w:rsidRDefault="00856B10" w:rsidP="00856B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Социальная сфера</w:t>
      </w:r>
    </w:p>
    <w:p w:rsidR="00856B10" w:rsidRDefault="00856B10" w:rsidP="00856B10">
      <w:pPr>
        <w:ind w:firstLine="709"/>
        <w:jc w:val="center"/>
        <w:rPr>
          <w:b/>
          <w:bCs/>
          <w:sz w:val="28"/>
          <w:szCs w:val="28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Создание условий для повышения конкурентоспособности человеческого капитала является основным приоритетом развития социальной сферы в прогнозном периоде. 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Приоритетные меры по развитию социальной сферы, задачи государственной политики, а также ключевые принципы ее реализации предусмотрены в документах стратегического планирования федерального, окружного, муниципального уровня, национальных проектах.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Основной целью развития системы образования города Югорска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Югорска.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rFonts w:eastAsia="Batang"/>
          <w:sz w:val="24"/>
          <w:szCs w:val="24"/>
          <w:lang w:eastAsia="zh-CN"/>
        </w:rPr>
        <w:t>Основным инструментом достижения целей станет участие в реализации регионального портфеля проектов «</w:t>
      </w:r>
      <w:r>
        <w:rPr>
          <w:sz w:val="24"/>
          <w:szCs w:val="24"/>
          <w:lang w:eastAsia="ru-RU"/>
        </w:rPr>
        <w:t>Образование», который включает следующие направления: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- проект «Современная школа» направлен на внедрение на уровнях основного общего                и среднего общего образования новых методов обучения и воспитания, образовательных технологий, обеспечивающих повышение мотивации к обучению, вовлеченности                                      в образовательный процесс и позволит каждому ребенку получить качественное современное образование. Ранняя профессиональная ориентация обучающихся даст возможность всем детям изучать предметную область «Технология» на базе детского технопарка «Кванториум»;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- внедрение современных дополнительных общеобразовательных программ, соответствующих интересам детей и их родителей, особенностям и потребностям социально-экономического развития, способствующих раскрытию талантов и способностей каждого ребенка - задача проекта «Успех каждого ребенка». Благодаря «Сертификату дополнительного образования детей» в реализацию программ открытого образования включатся негосударственные организации, осуществляющие образовательную деятельность;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- в ходе реализации проекта «Цифровая образовательная среда» все образовательные учреждения города Югорска, будут обеспечены стабильным и быстрым интернет-соединением. Планируется внедрение единой цифровой образовательной платформы, обеспечивающей цифровизацию управления сферой образования, повышение ее открытости;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 xml:space="preserve">- задача развития кадров для системы общего образования будет решаться                          </w:t>
      </w:r>
      <w:r>
        <w:rPr>
          <w:rFonts w:eastAsia="Batang"/>
          <w:sz w:val="24"/>
          <w:szCs w:val="24"/>
          <w:lang w:eastAsia="zh-CN"/>
        </w:rPr>
        <w:lastRenderedPageBreak/>
        <w:t xml:space="preserve">в соответствии с мероприятиями проекта «Учитель будущего»; 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- мероприятия проекта «Поддержка семей, имеющих детей» позволят оказать всем родителям информационно-просветительскую поддержку, а желающим будет оказано содействие в формировании индивидуальной образовательной траектории ребенка.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прогнозном периоде в целях повышения качества и результативности образования, успешной социализации детей и молодежи планируется обеспечить модернизацию программ         в системах общего и дополнительного образования детей, оснащение материально-технической базы образовательных учреждений в соответствии с требованиями федеральных государственных стандартов образования, увеличение охвата детей дополнительным образованием, создание новых мест в общеобразовательных учреждениях.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Начата реализация плана основных мероприятий в рамках проведения «Десятилетия детства». Президент Российской Федерации выделил задачу воспитания гармонично развитой и социально ответственной личности как приоритетную. В образовательных учреждениях реализуются современные подходы к воспитанию и гражданскому образованию, профилактике экстремизма в школьной среде, создана система воспитательной работы с учетом традиций учреждения. Город располагает уникальными воспитательными практиками кадетского образования, основанными на использовании исторического опыта, его переосмыслении                      и применении. В центре патриотического воспитания «Доблесть», созданного на базе муниципального бюджетного общеобразовательного учреждения «Средняя общеобразовательная школа № 2» с участием о</w:t>
      </w:r>
      <w:r>
        <w:rPr>
          <w:rFonts w:eastAsia="Calibri"/>
          <w:sz w:val="24"/>
          <w:szCs w:val="24"/>
        </w:rPr>
        <w:t>бщества с ограниченной ответственностью</w:t>
      </w:r>
      <w:r>
        <w:rPr>
          <w:sz w:val="24"/>
          <w:szCs w:val="24"/>
          <w:lang w:eastAsia="ru-RU"/>
        </w:rPr>
        <w:t xml:space="preserve"> «Газпром трансгаз Югорск» и 9-го отряда Федеральной противопожарной службы                            по Ханты-Мансийскому автономному округу - Югре, реализуются дополнительные общеобразовательные программы, направленные на патриотическое воспитание детей                            и молодежи, активно развивается движение «Юнармия», создан штаб местного отделения.</w:t>
      </w:r>
    </w:p>
    <w:p w:rsidR="00856B10" w:rsidRDefault="00856B10" w:rsidP="00856B10">
      <w:pPr>
        <w:ind w:firstLine="709"/>
        <w:jc w:val="both"/>
        <w:rPr>
          <w:rFonts w:eastAsia="Arial"/>
          <w:sz w:val="24"/>
          <w:szCs w:val="24"/>
          <w:lang w:eastAsia="en-US"/>
        </w:rPr>
      </w:pPr>
      <w:r>
        <w:rPr>
          <w:rFonts w:eastAsia="Arial"/>
          <w:sz w:val="24"/>
          <w:szCs w:val="24"/>
        </w:rPr>
        <w:t xml:space="preserve">В городе Югорске созданы условия для реализации творческих способностей молодых людей в самых различных направлениях молодежной культуры, сложилась качественная система развития социально-активной молодежи, которая находит поддержку среди учреждений и предприятий города, способствуют развитию гражданско-патриотических качеств молодежи. 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ru-RU"/>
        </w:rPr>
        <w:t>Деятельность в сфере молодежной политики в городе Югорске будет направлена на</w:t>
      </w:r>
      <w:r>
        <w:rPr>
          <w:rFonts w:eastAsia="Calibri"/>
          <w:sz w:val="24"/>
          <w:szCs w:val="24"/>
        </w:rPr>
        <w:t>: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поддержку талантливой молодежи, молодежных инициатив;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гражданское становление и патриотическое воспитание молодежи;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пропаганду здорового образа жизни, организацию досуга молодежи;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организацию временного трудоустройства;</w:t>
      </w:r>
    </w:p>
    <w:p w:rsidR="00856B10" w:rsidRDefault="00856B10" w:rsidP="00856B10">
      <w:pPr>
        <w:ind w:firstLine="709"/>
        <w:jc w:val="both"/>
        <w:rPr>
          <w:rFonts w:eastAsia="Arial Unicode MS"/>
          <w:bCs/>
          <w:kern w:val="2"/>
          <w:sz w:val="24"/>
          <w:szCs w:val="24"/>
          <w:lang w:bidi="en-US"/>
        </w:rPr>
      </w:pPr>
      <w:r>
        <w:rPr>
          <w:rFonts w:eastAsia="Arial Unicode MS"/>
          <w:bCs/>
          <w:kern w:val="2"/>
          <w:sz w:val="24"/>
          <w:szCs w:val="24"/>
          <w:lang w:bidi="en-US"/>
        </w:rPr>
        <w:t>- поддержку деятельности молодежных общественных объединений и волонтерского движения.</w:t>
      </w:r>
    </w:p>
    <w:p w:rsidR="00856B10" w:rsidRDefault="00856B10" w:rsidP="00856B10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</w:rPr>
        <w:t xml:space="preserve">Реализация молодежной политики, </w:t>
      </w:r>
      <w:r>
        <w:rPr>
          <w:rFonts w:eastAsia="Calibri"/>
          <w:sz w:val="24"/>
          <w:szCs w:val="24"/>
        </w:rPr>
        <w:t>предусматривающей формирование необходимых условий для конструктивного взаимодействия молодежи с институтами гражданского общества,</w:t>
      </w:r>
      <w:r>
        <w:rPr>
          <w:rFonts w:eastAsia="Calibri"/>
          <w:bCs/>
          <w:sz w:val="24"/>
          <w:szCs w:val="24"/>
        </w:rPr>
        <w:t xml:space="preserve"> должна способствовать сохранению традиционных российских семейных ценностей и духовно-нравственного воспитания детей и молодежи. 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отдыха и оздоровления детей представляет собой одно из важных направлений политики в социальной сфере. Основным элементом данной системы является межведомственное взаимодействие, которое строится через создание единого правового поля, координацию деятельности, реализацию функций контроля, информационное обеспечение                      и повышение уровня материально-технической базы учреждений, оказывающих услуги                 по организации оздоровления и отдыха детей.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прогнозном периоде продолжится работа по организации отдыха и оздоровления, как на базе учреждений, расположенных на территории города Югорска, так и за его пределами                  в климатически благоприятных зонах (детские оздоровительные лагеря). 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сферы культуры в прогнозном периоде будет направлено на создание необходимых условий для реализации творческого потенциала населения, цифровизацию услуг и формирование информационного пространства, повышение качества и разнообразие услуг.</w:t>
      </w:r>
    </w:p>
    <w:p w:rsidR="00856B10" w:rsidRDefault="00856B10" w:rsidP="00856B10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Работа по модернизации и развитию учреждений и организаций культуры будет продолжена. Участие в региональном проекте </w:t>
      </w:r>
      <w:r>
        <w:rPr>
          <w:color w:val="000000"/>
          <w:sz w:val="24"/>
          <w:szCs w:val="24"/>
          <w:lang w:eastAsia="ru-RU"/>
        </w:rPr>
        <w:t xml:space="preserve">«Культурная среда» позволит обеспечить качественно новый уровень развития инфраструктуры данной сферы, в том числе обновить </w:t>
      </w:r>
      <w:r>
        <w:rPr>
          <w:color w:val="000000"/>
          <w:sz w:val="24"/>
          <w:szCs w:val="24"/>
          <w:lang w:eastAsia="ru-RU"/>
        </w:rPr>
        <w:lastRenderedPageBreak/>
        <w:t xml:space="preserve">материально-техническую базу учреждений дополнительного образования культуры за счет приобретения необходимых инструментов, оборудования и материалов.  </w:t>
      </w:r>
    </w:p>
    <w:p w:rsidR="00856B10" w:rsidRDefault="00856B10" w:rsidP="00856B10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Региональный проект «Творческие люди» предполагает поддержку талантливых детей   и молодежи, участие творческих коллективов в различных конкурсах,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>повышение квалификации работников отрасли культуры, в том числе на базе Центров непрерывного образования повышения квалификации творческих и управленческих кадров в сфере культуры, созданных на базе ведущих творческих ВУЗов.</w:t>
      </w:r>
    </w:p>
    <w:p w:rsidR="00856B10" w:rsidRDefault="00856B10" w:rsidP="00856B10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Региональный проект </w:t>
      </w:r>
      <w:r>
        <w:rPr>
          <w:color w:val="000000"/>
          <w:sz w:val="24"/>
          <w:szCs w:val="24"/>
          <w:lang w:eastAsia="ru-RU"/>
        </w:rPr>
        <w:t xml:space="preserve">«Цифровая культура» предполагает цифровизацию услуг                         и формирование информационного пространства в сфере культуры. </w:t>
      </w:r>
      <w:r>
        <w:rPr>
          <w:color w:val="000000"/>
          <w:sz w:val="24"/>
          <w:szCs w:val="24"/>
        </w:rPr>
        <w:t xml:space="preserve">В рамках проекта планируется создание виртуальных концертных залов, оцифровка книжных памятников                      и включение в Национальную электронную библиотеку, создание виртуальных выставочных проектов, снабженных цифровыми гидами в формате дополненной реальности, что должно </w:t>
      </w:r>
      <w:r>
        <w:rPr>
          <w:rFonts w:eastAsia="Calibri"/>
          <w:color w:val="000000"/>
          <w:sz w:val="24"/>
          <w:szCs w:val="24"/>
        </w:rPr>
        <w:t>увеличить число граждан, принимающих участие в культурной деятельности.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дальнейшем будет продолжена реализация уникальных и привлекательных с точки зрения событийного туризма мероприятий, подчеркивающих самобытность и творческий потенциал народов, проживающих на территории Ханты-Мансийского автономного округа-Югры.  </w:t>
      </w:r>
    </w:p>
    <w:p w:rsidR="00856B10" w:rsidRDefault="00856B10" w:rsidP="00856B10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Деятельность в сфере физической культуры и спорта будет сосредоточена                               на выполнении регионального проекта «Спорт - норма жизни», который реализуется в рамках национального проекта «Демография».  Результатом реализации мероприятий должно стать </w:t>
      </w:r>
      <w:r>
        <w:rPr>
          <w:color w:val="000000"/>
          <w:sz w:val="24"/>
          <w:szCs w:val="24"/>
        </w:rPr>
        <w:t>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резерва.</w:t>
      </w:r>
    </w:p>
    <w:p w:rsidR="00856B10" w:rsidRDefault="00856B10" w:rsidP="00856B10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Для сохранения положительной динамики и устойчивого развития сферы физической культуры и спорта будут решаться задачи:</w:t>
      </w:r>
    </w:p>
    <w:p w:rsidR="00856B10" w:rsidRDefault="00856B10" w:rsidP="00856B10">
      <w:pPr>
        <w:widowControl w:val="0"/>
        <w:ind w:firstLine="709"/>
        <w:jc w:val="both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 xml:space="preserve">- повышения мотивации граждан </w:t>
      </w:r>
      <w:r>
        <w:rPr>
          <w:rFonts w:eastAsia="Calibri"/>
          <w:sz w:val="24"/>
          <w:szCs w:val="24"/>
          <w:lang w:eastAsia="ru-RU"/>
        </w:rPr>
        <w:t>к регулярным занятиям физической культурой                            и массовым спортом</w:t>
      </w:r>
      <w:r>
        <w:rPr>
          <w:rFonts w:eastAsia="Batang"/>
          <w:sz w:val="24"/>
          <w:szCs w:val="24"/>
          <w:lang w:eastAsia="zh-CN"/>
        </w:rPr>
        <w:t>;</w:t>
      </w:r>
    </w:p>
    <w:p w:rsidR="00856B10" w:rsidRDefault="00856B10" w:rsidP="00856B10">
      <w:pPr>
        <w:widowControl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обеспечение доступа жителям города Югорска к современной спортивной инфраструктуре;</w:t>
      </w:r>
    </w:p>
    <w:p w:rsidR="00856B10" w:rsidRDefault="00856B10" w:rsidP="00856B10">
      <w:pPr>
        <w:widowControl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создание условий для успешного выступления спортсменов города Югорска                         на официальных соревнованиях различного уровня;</w:t>
      </w:r>
    </w:p>
    <w:p w:rsidR="00856B10" w:rsidRDefault="00856B10" w:rsidP="00856B10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- популяризация спорта.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Проводимая в </w:t>
      </w:r>
      <w:r>
        <w:rPr>
          <w:sz w:val="24"/>
          <w:szCs w:val="24"/>
          <w:lang w:eastAsia="ru-RU"/>
        </w:rPr>
        <w:t>городе Югорске</w:t>
      </w:r>
      <w:r>
        <w:rPr>
          <w:sz w:val="24"/>
          <w:szCs w:val="24"/>
        </w:rPr>
        <w:t xml:space="preserve"> политика в области физической культуры и спорта направлена на введение мер по укреплению здоровья подрастающего поколения,                                 на повсеместное вовлечение детей и молодежи в занятия физической культурой и спортом,                 на развитие детско-юношеского спорта.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 критерием качественного проведения учебно-тренировочного процесса является состояние материально-технической базы спортивных учреждений: наличие открытых спортивных сооружений, спортивных залов, оснащенных необходимым спортивным оборудованием и инвентарем, наличие современного специализированного оборудования для организации и проведения спортивных мероприятий, организационной техники, обеспечение спортсменов качественным спортивным инвентарем и спортивной формой, соответствующими по своим потребительским и функциональным характеристикам, действующим нормативам                   и санитарно-гигиеническим требованиям.</w:t>
      </w:r>
    </w:p>
    <w:p w:rsidR="00856B10" w:rsidRDefault="00856B10" w:rsidP="00856B10">
      <w:pPr>
        <w:widowControl w:val="0"/>
        <w:ind w:firstLine="709"/>
        <w:jc w:val="both"/>
        <w:textAlignment w:val="baseline"/>
        <w:rPr>
          <w:rFonts w:eastAsia="Arial Unicode MS"/>
          <w:bCs/>
          <w:color w:val="000000"/>
          <w:kern w:val="3"/>
          <w:sz w:val="24"/>
          <w:szCs w:val="24"/>
          <w:lang w:bidi="en-US"/>
        </w:rPr>
      </w:pPr>
      <w:r>
        <w:rPr>
          <w:sz w:val="24"/>
          <w:szCs w:val="24"/>
        </w:rPr>
        <w:t xml:space="preserve">Наиболее значительная часть материально-технической базы - это спортивные сооружения, создание которых должно осуществляться с учётом перспектив развития муниципального образования. </w:t>
      </w:r>
      <w:r>
        <w:rPr>
          <w:rFonts w:eastAsia="Arial Unicode MS"/>
          <w:bCs/>
          <w:color w:val="000000"/>
          <w:kern w:val="2"/>
          <w:sz w:val="24"/>
          <w:szCs w:val="24"/>
          <w:lang w:bidi="en-US"/>
        </w:rPr>
        <w:t xml:space="preserve">В прогнозном периоде планируется ежегодное увеличение количества спортивных сооружений за счет строительства открытых плоскостных (игровых) площадок. </w:t>
      </w:r>
      <w:r>
        <w:rPr>
          <w:rFonts w:eastAsia="Arial Unicode MS"/>
          <w:bCs/>
          <w:color w:val="000000"/>
          <w:kern w:val="3"/>
          <w:sz w:val="24"/>
          <w:szCs w:val="24"/>
          <w:lang w:bidi="en-US"/>
        </w:rPr>
        <w:t xml:space="preserve"> </w:t>
      </w:r>
    </w:p>
    <w:p w:rsidR="00856B10" w:rsidRDefault="00856B10" w:rsidP="00856B10">
      <w:pPr>
        <w:widowControl w:val="0"/>
        <w:ind w:firstLine="709"/>
        <w:jc w:val="both"/>
        <w:textAlignment w:val="baseline"/>
        <w:rPr>
          <w:sz w:val="24"/>
          <w:szCs w:val="24"/>
        </w:rPr>
      </w:pPr>
      <w:r>
        <w:rPr>
          <w:rFonts w:eastAsia="Arial Unicode MS"/>
          <w:bCs/>
          <w:color w:val="000000"/>
          <w:kern w:val="3"/>
          <w:sz w:val="24"/>
          <w:szCs w:val="24"/>
          <w:lang w:bidi="en-US"/>
        </w:rPr>
        <w:t xml:space="preserve">В целях увеличения охвата населения, занимающегося физической культурой                   и спортом, в прогнозном периоде планируется участие в летних и зимних фестивалях Всероссийского физкультурно-спортивного комплекса «Готов к труду и обороне» (ГТО).                 </w:t>
      </w:r>
    </w:p>
    <w:p w:rsidR="00856B10" w:rsidRPr="00856B10" w:rsidRDefault="00856B10" w:rsidP="00856B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Продолжится реализация мероприятий, направленных на создание условий, способствующих интеграции инвалидов в общество и повышение их уровня жизни.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задачами, которые необходимо решить в перспективе, являются: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повышение уровня доступности инвалидов и других маломобильных групп населения к приоритетным объектам в сферах жизнедеятельности;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доступности и качества услуг инвалидам.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Будет продолжена работа по созданию условий для упрощения доступа негосударственных (коммерческих, некоммерческих) организаций, в том числе социально-ориентированных некоммерческих организаций, к предоставлению населению услуг в сфере социального обслуживания. Развитие рынка социальных услуг должно способствовать повышению обеспеченности населения социальными услугами при рациональном использовании бюджетных средств.</w:t>
      </w:r>
    </w:p>
    <w:p w:rsidR="00856B10" w:rsidRDefault="00856B10" w:rsidP="00856B10">
      <w:pPr>
        <w:rPr>
          <w:sz w:val="24"/>
          <w:szCs w:val="24"/>
        </w:rPr>
        <w:sectPr w:rsidR="00856B10">
          <w:pgSz w:w="11906" w:h="16838"/>
          <w:pgMar w:top="567" w:right="567" w:bottom="567" w:left="1474" w:header="709" w:footer="709" w:gutter="0"/>
          <w:cols w:space="720"/>
        </w:sectPr>
      </w:pPr>
    </w:p>
    <w:p w:rsidR="00856B10" w:rsidRDefault="00856B10" w:rsidP="00856B10">
      <w:pPr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3</w:t>
      </w:r>
    </w:p>
    <w:p w:rsidR="00856B10" w:rsidRPr="0014224C" w:rsidRDefault="00856B10" w:rsidP="00856B10">
      <w:pPr>
        <w:spacing w:line="276" w:lineRule="auto"/>
        <w:jc w:val="right"/>
        <w:rPr>
          <w:rFonts w:eastAsia="Calibri"/>
          <w:b/>
          <w:sz w:val="16"/>
          <w:szCs w:val="16"/>
          <w:lang w:eastAsia="en-US"/>
        </w:rPr>
      </w:pPr>
    </w:p>
    <w:p w:rsidR="00856B10" w:rsidRDefault="00856B10" w:rsidP="00856B10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Показатели прогноза социально-экономического развития города Югорска на период до 2036 года</w:t>
      </w:r>
    </w:p>
    <w:p w:rsidR="00856B10" w:rsidRPr="0014224C" w:rsidRDefault="00856B10" w:rsidP="00856B10">
      <w:pPr>
        <w:spacing w:line="276" w:lineRule="auto"/>
        <w:rPr>
          <w:rFonts w:eastAsia="Calibri"/>
          <w:b/>
          <w:sz w:val="16"/>
          <w:szCs w:val="16"/>
        </w:rPr>
      </w:pPr>
    </w:p>
    <w:tbl>
      <w:tblPr>
        <w:tblW w:w="15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711"/>
        <w:gridCol w:w="711"/>
        <w:gridCol w:w="74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76CE5" w:rsidRPr="00C76CE5" w:rsidTr="00C76CE5">
        <w:trPr>
          <w:trHeight w:val="254"/>
          <w:tblHeader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</w:rPr>
            </w:pPr>
            <w:r w:rsidRPr="00C76CE5">
              <w:rPr>
                <w:sz w:val="16"/>
                <w:szCs w:val="16"/>
              </w:rPr>
              <w:t>Показатели</w:t>
            </w:r>
          </w:p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отчет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оценка</w:t>
            </w:r>
          </w:p>
        </w:tc>
        <w:tc>
          <w:tcPr>
            <w:tcW w:w="11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прогноз</w:t>
            </w:r>
          </w:p>
        </w:tc>
      </w:tr>
      <w:tr w:rsidR="00C76CE5" w:rsidRPr="00C76CE5" w:rsidTr="00C76CE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2017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2018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2019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2027</w:t>
            </w:r>
          </w:p>
        </w:tc>
      </w:tr>
      <w:tr w:rsidR="00C76CE5" w:rsidRPr="00C76CE5" w:rsidTr="00C76CE5">
        <w:trPr>
          <w:trHeight w:val="3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</w:tr>
      <w:tr w:rsidR="00C76CE5" w:rsidRPr="00C76CE5" w:rsidTr="00C76CE5">
        <w:trPr>
          <w:trHeight w:val="27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</w:tr>
      <w:tr w:rsidR="00C76CE5" w:rsidRPr="00C76CE5" w:rsidTr="00C76CE5">
        <w:trPr>
          <w:trHeight w:val="5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C76CE5">
              <w:rPr>
                <w:b/>
                <w:sz w:val="16"/>
                <w:szCs w:val="16"/>
              </w:rPr>
              <w:t>Демографические показатели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</w:rPr>
            </w:pPr>
            <w:r w:rsidRPr="00C76CE5">
              <w:rPr>
                <w:sz w:val="16"/>
                <w:szCs w:val="16"/>
              </w:rPr>
              <w:t xml:space="preserve">Численность населения (среднегодовая), </w:t>
            </w:r>
          </w:p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тыс. 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37,3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37,4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37,52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37,87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</w:rPr>
            </w:pPr>
            <w:r w:rsidRPr="00C76CE5">
              <w:rPr>
                <w:sz w:val="16"/>
                <w:szCs w:val="16"/>
              </w:rPr>
              <w:t>38,6</w:t>
            </w:r>
          </w:p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38,76</w:t>
            </w:r>
          </w:p>
        </w:tc>
      </w:tr>
      <w:tr w:rsidR="00C76CE5" w:rsidRPr="00C76CE5" w:rsidTr="00C76CE5">
        <w:trPr>
          <w:trHeight w:val="55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C76CE5">
              <w:rPr>
                <w:b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(по крупным                  и средним предприятиям) производителей промышленной продукции, 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1111,9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1523,5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1041,8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1092,7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1095,6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1147,9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1153,8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1205,7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1215,7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1267,5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1280,5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1333,5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1349,7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1401,0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1419,7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1472,5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1494,6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1546,7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1573,2</w:t>
            </w:r>
          </w:p>
        </w:tc>
      </w:tr>
      <w:tr w:rsidR="00C76CE5" w:rsidRPr="00C76CE5" w:rsidTr="00C76CE5">
        <w:trPr>
          <w:trHeight w:val="40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tabs>
                <w:tab w:val="left" w:pos="0"/>
              </w:tabs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96,1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130,4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</w:tr>
      <w:tr w:rsidR="00C76CE5" w:rsidRPr="00C76CE5" w:rsidTr="00C76CE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tabs>
                <w:tab w:val="left" w:pos="326"/>
                <w:tab w:val="left" w:pos="468"/>
                <w:tab w:val="left" w:pos="1460"/>
                <w:tab w:val="left" w:pos="1672"/>
              </w:tabs>
              <w:jc w:val="both"/>
              <w:rPr>
                <w:sz w:val="16"/>
                <w:szCs w:val="16"/>
              </w:rPr>
            </w:pPr>
            <w:r w:rsidRPr="00C76CE5">
              <w:rPr>
                <w:sz w:val="16"/>
                <w:szCs w:val="16"/>
              </w:rPr>
              <w:t xml:space="preserve">- обрабатывающие производства, </w:t>
            </w:r>
          </w:p>
          <w:p w:rsidR="00856B10" w:rsidRPr="00C76CE5" w:rsidRDefault="00856B10" w:rsidP="00C76CE5">
            <w:pPr>
              <w:tabs>
                <w:tab w:val="left" w:pos="326"/>
                <w:tab w:val="left" w:pos="468"/>
                <w:tab w:val="left" w:pos="1460"/>
                <w:tab w:val="left" w:pos="1672"/>
              </w:tabs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452,0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923,8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420,5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444,1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444,7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468,5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492,8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493,4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518,6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519,7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547,1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548,4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576,9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576,8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607,3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606,9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638,8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637,8</w:t>
            </w:r>
          </w:p>
        </w:tc>
      </w:tr>
      <w:tr w:rsidR="00C76CE5" w:rsidRPr="00C76CE5" w:rsidTr="00C76CE5">
        <w:trPr>
          <w:trHeight w:val="41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195,0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100,2</w:t>
            </w:r>
          </w:p>
        </w:tc>
      </w:tr>
      <w:tr w:rsidR="00C76CE5" w:rsidRPr="00C76CE5" w:rsidTr="00C76CE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tabs>
                <w:tab w:val="left" w:pos="0"/>
              </w:tabs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 xml:space="preserve">- обеспечение электрической энергией, газом и паром; кондиционирование воздуха, млн. руб.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511,0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439,7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453,7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473,3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475,2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497,1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501,6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522,2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529,5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549,6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558,9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577,9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589,4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606,4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621,0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637,6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654,8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669,8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691,3</w:t>
            </w:r>
          </w:p>
        </w:tc>
      </w:tr>
      <w:tr w:rsidR="00C76CE5" w:rsidRPr="00C76CE5" w:rsidTr="00C76CE5">
        <w:trPr>
          <w:trHeight w:val="3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91,2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82,8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98,0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101,6</w:t>
            </w:r>
          </w:p>
        </w:tc>
      </w:tr>
      <w:tr w:rsidR="00C76CE5" w:rsidRPr="00C76CE5" w:rsidTr="00C76CE5">
        <w:trPr>
          <w:trHeight w:val="8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- водоснабжение,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148,9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160,0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167,5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175,3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175,8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182,5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183,7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190,7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192,8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199,3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211,9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217,8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221,9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227,6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232,9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238,1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244,1</w:t>
            </w:r>
          </w:p>
        </w:tc>
      </w:tr>
      <w:tr w:rsidR="00C76CE5" w:rsidRPr="00C76CE5" w:rsidTr="00C76CE5">
        <w:trPr>
          <w:trHeight w:val="2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lastRenderedPageBreak/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87,5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97,6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100,8</w:t>
            </w:r>
          </w:p>
        </w:tc>
      </w:tr>
      <w:tr w:rsidR="00C76CE5" w:rsidRPr="00C76CE5" w:rsidTr="00C76CE5">
        <w:trPr>
          <w:trHeight w:val="42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b/>
                <w:sz w:val="16"/>
                <w:szCs w:val="16"/>
                <w:lang w:eastAsia="en-US"/>
              </w:rPr>
            </w:pPr>
            <w:r w:rsidRPr="00C76CE5">
              <w:rPr>
                <w:b/>
                <w:sz w:val="16"/>
                <w:szCs w:val="16"/>
              </w:rPr>
              <w:t xml:space="preserve">Инвестиции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rPr>
          <w:trHeight w:val="139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предпринимательства), 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55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1 643,4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53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1 762,0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15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1 579,0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53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1 645,3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153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1 659,3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63" w:right="-14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1 720,5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66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1 741,9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68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1 801,3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70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1 829,8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72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1 887,5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1 927,1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77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1 984,5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79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2 036,1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81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2 086,4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84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2 151,4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86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2 191,8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88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2 267,6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90" w:right="-28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2 295,0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59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2 384,3</w:t>
            </w:r>
          </w:p>
        </w:tc>
      </w:tr>
      <w:tr w:rsidR="00C76CE5" w:rsidRPr="00C76CE5" w:rsidTr="00C76CE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индекс физического объема,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132,9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85,3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101,0</w:t>
            </w:r>
          </w:p>
        </w:tc>
      </w:tr>
      <w:tr w:rsidR="00C76CE5" w:rsidRPr="00C76CE5" w:rsidTr="00C76CE5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Ввод жилья, тыс. кв. 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25,40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14,20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18,90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14,20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15,90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11,20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13,10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22,10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23,80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32,50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34,20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15,00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16,70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11,20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12,90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11,20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12,90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11,20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12,90</w:t>
            </w:r>
          </w:p>
        </w:tc>
      </w:tr>
      <w:tr w:rsidR="00C76CE5" w:rsidRPr="00C76CE5" w:rsidTr="00C76CE5">
        <w:trPr>
          <w:trHeight w:val="113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Общая площадь жилых помещений, приходящаяся в среднем на 1 жителя (на конец года), кв. 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28,5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29,1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29,1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29,5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29,9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30,3</w:t>
            </w:r>
          </w:p>
        </w:tc>
      </w:tr>
      <w:tr w:rsidR="00C76CE5" w:rsidRPr="00C76CE5" w:rsidTr="00C76CE5">
        <w:trPr>
          <w:trHeight w:val="55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C76CE5">
              <w:rPr>
                <w:b/>
                <w:sz w:val="16"/>
                <w:szCs w:val="16"/>
              </w:rPr>
              <w:t>Денежные доходы и расходы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Численность населения с денежными доходами ниже величины прожиточного минимума, в % ко всему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</w:tr>
      <w:tr w:rsidR="00C76CE5" w:rsidRPr="00C76CE5" w:rsidTr="00C76CE5">
        <w:trPr>
          <w:trHeight w:val="33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C76CE5">
              <w:rPr>
                <w:b/>
                <w:sz w:val="16"/>
                <w:szCs w:val="16"/>
              </w:rPr>
              <w:t>Труд и занятость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rPr>
          <w:trHeight w:val="8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Численность экономически активного населения, тыс. 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26,7</w:t>
            </w:r>
          </w:p>
        </w:tc>
      </w:tr>
      <w:tr w:rsidR="00C76CE5" w:rsidRPr="00C76CE5" w:rsidTr="00C76CE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tabs>
                <w:tab w:val="left" w:pos="0"/>
              </w:tabs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Уровень зарегистрированной безработицы (на конец периода),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C76CE5" w:rsidRPr="00C76CE5" w:rsidTr="00C76CE5">
        <w:trPr>
          <w:trHeight w:val="53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Реальная заработная плата,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101,5</w:t>
            </w:r>
          </w:p>
        </w:tc>
      </w:tr>
    </w:tbl>
    <w:p w:rsidR="00856B10" w:rsidRDefault="00856B10" w:rsidP="00856B10">
      <w:pPr>
        <w:spacing w:after="200" w:line="276" w:lineRule="auto"/>
        <w:ind w:right="-598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</w:rPr>
        <w:t>ие</w:t>
      </w:r>
    </w:p>
    <w:tbl>
      <w:tblPr>
        <w:tblW w:w="15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664"/>
        <w:gridCol w:w="664"/>
        <w:gridCol w:w="664"/>
        <w:gridCol w:w="664"/>
        <w:gridCol w:w="664"/>
        <w:gridCol w:w="636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856B10" w:rsidRPr="00C76CE5" w:rsidTr="00C76CE5">
        <w:trPr>
          <w:tblHeader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</w:rPr>
            </w:pPr>
            <w:r w:rsidRPr="00C76CE5">
              <w:rPr>
                <w:sz w:val="16"/>
                <w:szCs w:val="16"/>
              </w:rPr>
              <w:lastRenderedPageBreak/>
              <w:t>Показатели</w:t>
            </w:r>
          </w:p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прогноз</w:t>
            </w:r>
          </w:p>
        </w:tc>
      </w:tr>
      <w:tr w:rsidR="00C76CE5" w:rsidRPr="00C76CE5" w:rsidTr="00C76CE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2031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2032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2033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2034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2035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2036</w:t>
            </w:r>
          </w:p>
        </w:tc>
      </w:tr>
      <w:tr w:rsidR="00C76CE5" w:rsidRPr="00C76CE5" w:rsidTr="00C76CE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</w:tr>
      <w:tr w:rsidR="00C76CE5" w:rsidRPr="00C76CE5" w:rsidTr="00C76CE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b/>
                <w:sz w:val="16"/>
                <w:szCs w:val="16"/>
              </w:rPr>
              <w:t>Демографические показатели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Численность населения (среднегодовая), тыс. 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</w:rPr>
            </w:pPr>
            <w:r w:rsidRPr="00C76CE5">
              <w:rPr>
                <w:rFonts w:eastAsia="Calibri"/>
                <w:sz w:val="16"/>
                <w:szCs w:val="16"/>
              </w:rPr>
              <w:t>39,67</w:t>
            </w:r>
          </w:p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40,41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40,57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</w:rPr>
            </w:pPr>
            <w:r w:rsidRPr="00C76CE5">
              <w:rPr>
                <w:rFonts w:eastAsia="Calibri"/>
                <w:sz w:val="16"/>
                <w:szCs w:val="16"/>
              </w:rPr>
              <w:t>40,61</w:t>
            </w:r>
          </w:p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b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(по крупным  и средним предприятиям) производителей промышленной продукции, 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1625,3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1654,0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1709,3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1742,6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1798,4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2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1834,5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1889,9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1931,7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1985,9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2033,2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2084,5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2140,4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2188,4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2253,9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2299,2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2369,6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2413,1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2494,3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101,1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tabs>
                <w:tab w:val="left" w:pos="326"/>
                <w:tab w:val="left" w:pos="468"/>
                <w:tab w:val="left" w:pos="1460"/>
                <w:tab w:val="left" w:pos="1672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C76CE5">
              <w:rPr>
                <w:rFonts w:eastAsia="Calibri"/>
                <w:sz w:val="16"/>
                <w:szCs w:val="16"/>
              </w:rPr>
              <w:t xml:space="preserve">- обрабатывающие производства, </w:t>
            </w:r>
          </w:p>
          <w:p w:rsidR="00856B10" w:rsidRPr="00C76CE5" w:rsidRDefault="00856B10" w:rsidP="00C76CE5">
            <w:pPr>
              <w:tabs>
                <w:tab w:val="left" w:pos="326"/>
                <w:tab w:val="left" w:pos="468"/>
                <w:tab w:val="left" w:pos="1460"/>
                <w:tab w:val="left" w:pos="1672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671,9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669,6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707,0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703,8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745,9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739,6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784,4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778,6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824,4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818,9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866,6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861,4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910,1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906,2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956,7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951,5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999,1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 xml:space="preserve">- обеспечение электрической энергией, газом и паром; кондиционирование воздуха, млн. руб.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704,9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729,0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742,7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771,0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780,9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813,9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821,9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859,2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865,1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906,1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907,8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955,6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954,5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1008,7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1063,8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1056,3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1124,1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101,7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- водоснабжение,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248,4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255,4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259,6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271,6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281,0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283,6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293,9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296,4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310,1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323,4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323,8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339,0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337,8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354,3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352,7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371,1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100,7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b/>
                <w:sz w:val="16"/>
                <w:szCs w:val="16"/>
              </w:rPr>
              <w:t xml:space="preserve">Инвестиции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предпринимательства), 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5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2 413,0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5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2 519,3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5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2 533,0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4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2 655,5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2 656,7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28" w:right="-5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2 801,4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17" w:right="-4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2 777,3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19" w:right="-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2 945,7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21" w:right="-3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2 910,7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23" w:right="-3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3 102,5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26"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3 043,0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28" w:right="-3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3 262,4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30" w:right="-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3 184,0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32" w:right="-4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3 422,1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35" w:right="-3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3 328,9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37" w:right="-3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3 586,8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39" w:right="-3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3 483,3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41" w:right="-3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3 765,7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индекс физического объема,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100,9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Ввод жилья, тыс. кв. 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12,20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12,90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13,90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Общая площадь жилых помещений, приходящаяся в среднем на 1 жителя (на конец года), кв. 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31,4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b/>
                <w:sz w:val="16"/>
                <w:szCs w:val="16"/>
              </w:rPr>
              <w:t>Денежные доходы и расходы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Численность населения с денежными доходами ниже величины прожиточного минимума в % ко всему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4,4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b/>
                <w:sz w:val="16"/>
                <w:szCs w:val="16"/>
              </w:rPr>
              <w:t>Труд и занятость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Численность экономически активного населения, тыс. 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27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tabs>
                <w:tab w:val="left" w:pos="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Уровень зарегистрированной безработицы (на конец периода),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0,56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Реальная заработная плата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101,5</w:t>
            </w:r>
          </w:p>
        </w:tc>
      </w:tr>
    </w:tbl>
    <w:p w:rsidR="00856B10" w:rsidRDefault="00856B10" w:rsidP="00856B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6B10" w:rsidRDefault="00856B10" w:rsidP="00856B10">
      <w:pPr>
        <w:spacing w:after="200" w:line="276" w:lineRule="auto"/>
        <w:rPr>
          <w:rFonts w:ascii="Calibri" w:eastAsia="Calibri" w:hAnsi="Calibri"/>
        </w:rPr>
      </w:pPr>
    </w:p>
    <w:p w:rsidR="00856B10" w:rsidRDefault="00856B10" w:rsidP="0014224C">
      <w:pPr>
        <w:jc w:val="both"/>
        <w:rPr>
          <w:sz w:val="24"/>
          <w:szCs w:val="24"/>
        </w:rPr>
      </w:pPr>
    </w:p>
    <w:sectPr w:rsidR="00856B10" w:rsidSect="00856B1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46D70F6"/>
    <w:multiLevelType w:val="multilevel"/>
    <w:tmpl w:val="E9CE3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9" w:hanging="60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46B601EC"/>
    <w:multiLevelType w:val="hybridMultilevel"/>
    <w:tmpl w:val="1C4C0812"/>
    <w:lvl w:ilvl="0" w:tplc="056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3B5FCF"/>
    <w:multiLevelType w:val="hybridMultilevel"/>
    <w:tmpl w:val="D9DC4934"/>
    <w:lvl w:ilvl="0" w:tplc="2AF8D8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74B0"/>
    <w:rsid w:val="000C2EA5"/>
    <w:rsid w:val="001257C7"/>
    <w:rsid w:val="001347D7"/>
    <w:rsid w:val="001356EA"/>
    <w:rsid w:val="00140D6B"/>
    <w:rsid w:val="0014224C"/>
    <w:rsid w:val="0018017D"/>
    <w:rsid w:val="00184ECA"/>
    <w:rsid w:val="0021641A"/>
    <w:rsid w:val="00224E69"/>
    <w:rsid w:val="002565F6"/>
    <w:rsid w:val="00273087"/>
    <w:rsid w:val="00285C61"/>
    <w:rsid w:val="00296E8C"/>
    <w:rsid w:val="002F5129"/>
    <w:rsid w:val="003642AD"/>
    <w:rsid w:val="0037056B"/>
    <w:rsid w:val="003738C0"/>
    <w:rsid w:val="003A5CF6"/>
    <w:rsid w:val="003D688F"/>
    <w:rsid w:val="003E014D"/>
    <w:rsid w:val="00423003"/>
    <w:rsid w:val="004B0DBB"/>
    <w:rsid w:val="004C6A75"/>
    <w:rsid w:val="004F7448"/>
    <w:rsid w:val="00510950"/>
    <w:rsid w:val="0053339B"/>
    <w:rsid w:val="00624190"/>
    <w:rsid w:val="00632309"/>
    <w:rsid w:val="0065328E"/>
    <w:rsid w:val="00675275"/>
    <w:rsid w:val="00684215"/>
    <w:rsid w:val="006B3FA0"/>
    <w:rsid w:val="006D523E"/>
    <w:rsid w:val="006F6444"/>
    <w:rsid w:val="00713C1C"/>
    <w:rsid w:val="007268A4"/>
    <w:rsid w:val="007D5A8E"/>
    <w:rsid w:val="007E29A5"/>
    <w:rsid w:val="007F4736"/>
    <w:rsid w:val="007F4A15"/>
    <w:rsid w:val="008170BE"/>
    <w:rsid w:val="008267F4"/>
    <w:rsid w:val="008478F4"/>
    <w:rsid w:val="00856B10"/>
    <w:rsid w:val="00886003"/>
    <w:rsid w:val="008C407D"/>
    <w:rsid w:val="009040C5"/>
    <w:rsid w:val="00906884"/>
    <w:rsid w:val="00914417"/>
    <w:rsid w:val="00921D55"/>
    <w:rsid w:val="00956328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C26832"/>
    <w:rsid w:val="00C76CE5"/>
    <w:rsid w:val="00CD3203"/>
    <w:rsid w:val="00CE2A5A"/>
    <w:rsid w:val="00D01A38"/>
    <w:rsid w:val="00D6114D"/>
    <w:rsid w:val="00D6571C"/>
    <w:rsid w:val="00D810B8"/>
    <w:rsid w:val="00DD3187"/>
    <w:rsid w:val="00DE462F"/>
    <w:rsid w:val="00E309F9"/>
    <w:rsid w:val="00E864FB"/>
    <w:rsid w:val="00E91200"/>
    <w:rsid w:val="00EC794D"/>
    <w:rsid w:val="00ED117A"/>
    <w:rsid w:val="00ED34E9"/>
    <w:rsid w:val="00EF19B1"/>
    <w:rsid w:val="00F52A75"/>
    <w:rsid w:val="00F6410F"/>
    <w:rsid w:val="00F930E6"/>
    <w:rsid w:val="00FA2C75"/>
    <w:rsid w:val="00FB1377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56B10"/>
    <w:pPr>
      <w:keepNext/>
      <w:tabs>
        <w:tab w:val="num" w:pos="0"/>
      </w:tabs>
      <w:suppressAutoHyphens w:val="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3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56B10"/>
    <w:pPr>
      <w:keepNext/>
      <w:tabs>
        <w:tab w:val="num" w:pos="0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56B10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link w:val="3"/>
    <w:semiHidden/>
    <w:rsid w:val="00CD320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HTML">
    <w:name w:val="HTML Preformatted"/>
    <w:basedOn w:val="a"/>
    <w:link w:val="HTML0"/>
    <w:semiHidden/>
    <w:unhideWhenUsed/>
    <w:rsid w:val="0081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semiHidden/>
    <w:rsid w:val="008170BE"/>
    <w:rPr>
      <w:rFonts w:ascii="Courier New" w:eastAsia="Times New Roman" w:hAnsi="Courier New" w:cs="Courier New"/>
    </w:rPr>
  </w:style>
  <w:style w:type="paragraph" w:customStyle="1" w:styleId="a8">
    <w:name w:val="Базовый"/>
    <w:rsid w:val="008170BE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eastAsia="Times New Roman" w:hAnsi="Arial" w:cs="Arial"/>
      <w:color w:val="00000A"/>
      <w:lang w:eastAsia="ar-SA"/>
    </w:rPr>
  </w:style>
  <w:style w:type="character" w:styleId="a9">
    <w:name w:val="Hyperlink"/>
    <w:uiPriority w:val="99"/>
    <w:semiHidden/>
    <w:unhideWhenUsed/>
    <w:rsid w:val="00856B10"/>
    <w:rPr>
      <w:color w:val="0000FF"/>
      <w:u w:val="single"/>
    </w:rPr>
  </w:style>
  <w:style w:type="table" w:styleId="aa">
    <w:name w:val="Table Grid"/>
    <w:basedOn w:val="a1"/>
    <w:uiPriority w:val="39"/>
    <w:locked/>
    <w:rsid w:val="00856B1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856B10"/>
    <w:rPr>
      <w:rFonts w:ascii="Times New Roman" w:eastAsia="Times New Roman" w:hAnsi="Times New Roman"/>
      <w:b/>
      <w:sz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856B1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semiHidden/>
    <w:rsid w:val="00856B1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856B1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semiHidden/>
    <w:rsid w:val="00856B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56B10"/>
    <w:pPr>
      <w:keepNext/>
      <w:tabs>
        <w:tab w:val="num" w:pos="0"/>
      </w:tabs>
      <w:suppressAutoHyphens w:val="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3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56B10"/>
    <w:pPr>
      <w:keepNext/>
      <w:tabs>
        <w:tab w:val="num" w:pos="0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56B10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link w:val="3"/>
    <w:semiHidden/>
    <w:rsid w:val="00CD320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HTML">
    <w:name w:val="HTML Preformatted"/>
    <w:basedOn w:val="a"/>
    <w:link w:val="HTML0"/>
    <w:semiHidden/>
    <w:unhideWhenUsed/>
    <w:rsid w:val="0081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semiHidden/>
    <w:rsid w:val="008170BE"/>
    <w:rPr>
      <w:rFonts w:ascii="Courier New" w:eastAsia="Times New Roman" w:hAnsi="Courier New" w:cs="Courier New"/>
    </w:rPr>
  </w:style>
  <w:style w:type="paragraph" w:customStyle="1" w:styleId="a8">
    <w:name w:val="Базовый"/>
    <w:rsid w:val="008170BE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eastAsia="Times New Roman" w:hAnsi="Arial" w:cs="Arial"/>
      <w:color w:val="00000A"/>
      <w:lang w:eastAsia="ar-SA"/>
    </w:rPr>
  </w:style>
  <w:style w:type="character" w:styleId="a9">
    <w:name w:val="Hyperlink"/>
    <w:uiPriority w:val="99"/>
    <w:semiHidden/>
    <w:unhideWhenUsed/>
    <w:rsid w:val="00856B10"/>
    <w:rPr>
      <w:color w:val="0000FF"/>
      <w:u w:val="single"/>
    </w:rPr>
  </w:style>
  <w:style w:type="table" w:styleId="aa">
    <w:name w:val="Table Grid"/>
    <w:basedOn w:val="a1"/>
    <w:uiPriority w:val="39"/>
    <w:locked/>
    <w:rsid w:val="00856B1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856B10"/>
    <w:rPr>
      <w:rFonts w:ascii="Times New Roman" w:eastAsia="Times New Roman" w:hAnsi="Times New Roman"/>
      <w:b/>
      <w:sz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856B1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semiHidden/>
    <w:rsid w:val="00856B1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856B1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semiHidden/>
    <w:rsid w:val="00856B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9_105684_investitsionnaya-politika-gosudarstva-podhodi-istochniki-tseli-modeli-investitsionnoy-politiki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2ADF-C827-4878-B6D2-80B3FB7E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6505</Words>
  <Characters>37081</Characters>
  <Application>Microsoft Office Word</Application>
  <DocSecurity>4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Пивоварчик Лидия Геннадьевна</cp:lastModifiedBy>
  <cp:revision>2</cp:revision>
  <cp:lastPrinted>2019-07-29T09:32:00Z</cp:lastPrinted>
  <dcterms:created xsi:type="dcterms:W3CDTF">2022-11-10T07:02:00Z</dcterms:created>
  <dcterms:modified xsi:type="dcterms:W3CDTF">2022-11-10T07:02:00Z</dcterms:modified>
</cp:coreProperties>
</file>