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6C" w:rsidRDefault="00482E6C" w:rsidP="00482E6C">
      <w:pPr>
        <w:pStyle w:val="ConsPlusNormal"/>
        <w:jc w:val="right"/>
        <w:outlineLvl w:val="1"/>
      </w:pPr>
      <w:r>
        <w:t>Приложение 18</w:t>
      </w:r>
    </w:p>
    <w:p w:rsidR="00482E6C" w:rsidRDefault="00482E6C" w:rsidP="00482E6C">
      <w:pPr>
        <w:pStyle w:val="ConsPlusNormal"/>
        <w:jc w:val="right"/>
      </w:pPr>
      <w:r>
        <w:t>к государственной программе</w:t>
      </w:r>
    </w:p>
    <w:p w:rsidR="00482E6C" w:rsidRDefault="00482E6C" w:rsidP="00482E6C">
      <w:pPr>
        <w:pStyle w:val="ConsPlusNormal"/>
        <w:jc w:val="right"/>
      </w:pPr>
      <w:r>
        <w:t>Ханты-Мансийского автономного округа - Югры</w:t>
      </w:r>
    </w:p>
    <w:p w:rsidR="00482E6C" w:rsidRDefault="00482E6C" w:rsidP="00482E6C">
      <w:pPr>
        <w:pStyle w:val="ConsPlusNormal"/>
        <w:jc w:val="right"/>
      </w:pPr>
      <w:r>
        <w:t>"Развитие агропромышленного комплекса</w:t>
      </w:r>
    </w:p>
    <w:p w:rsidR="00482E6C" w:rsidRDefault="00482E6C" w:rsidP="00482E6C">
      <w:pPr>
        <w:pStyle w:val="ConsPlusNormal"/>
        <w:jc w:val="right"/>
      </w:pPr>
      <w:r>
        <w:t>и рынков сельскохозяйственной продукции,</w:t>
      </w:r>
    </w:p>
    <w:p w:rsidR="00482E6C" w:rsidRDefault="00482E6C" w:rsidP="00482E6C">
      <w:pPr>
        <w:pStyle w:val="ConsPlusNormal"/>
        <w:jc w:val="right"/>
      </w:pPr>
      <w:r>
        <w:t>сырья и продовольствия</w:t>
      </w:r>
    </w:p>
    <w:p w:rsidR="00482E6C" w:rsidRDefault="00482E6C" w:rsidP="00482E6C">
      <w:pPr>
        <w:pStyle w:val="ConsPlusNormal"/>
        <w:jc w:val="right"/>
      </w:pP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</w:t>
      </w:r>
    </w:p>
    <w:p w:rsidR="00482E6C" w:rsidRDefault="00482E6C" w:rsidP="00482E6C">
      <w:pPr>
        <w:pStyle w:val="ConsPlusNormal"/>
        <w:jc w:val="right"/>
      </w:pPr>
      <w:r>
        <w:t>на 2018 - 2025 годы и на период до 2030 года"</w:t>
      </w:r>
    </w:p>
    <w:p w:rsidR="00482E6C" w:rsidRDefault="00482E6C" w:rsidP="00482E6C">
      <w:pPr>
        <w:pStyle w:val="ConsPlusNormal"/>
        <w:jc w:val="both"/>
      </w:pPr>
    </w:p>
    <w:p w:rsidR="00482E6C" w:rsidRDefault="00482E6C" w:rsidP="00482E6C">
      <w:pPr>
        <w:pStyle w:val="ConsPlusTitle"/>
        <w:jc w:val="center"/>
      </w:pPr>
      <w:bookmarkStart w:id="0" w:name="P4793"/>
      <w:bookmarkEnd w:id="0"/>
      <w:r>
        <w:t>ПОРЯДОК</w:t>
      </w:r>
    </w:p>
    <w:p w:rsidR="00482E6C" w:rsidRDefault="00482E6C" w:rsidP="00482E6C">
      <w:pPr>
        <w:pStyle w:val="ConsPlusTitle"/>
        <w:jc w:val="center"/>
      </w:pPr>
      <w:r>
        <w:t>РАСЧЕТА И ПРЕДОСТАВЛЕНИЯ СУБСИДИЙ НА ПОДДЕРЖКУ МАЛЫХ ФОРМ</w:t>
      </w:r>
    </w:p>
    <w:p w:rsidR="00482E6C" w:rsidRDefault="00482E6C" w:rsidP="00482E6C">
      <w:pPr>
        <w:pStyle w:val="ConsPlusTitle"/>
        <w:jc w:val="center"/>
      </w:pPr>
      <w:r>
        <w:t>ХОЗЯЙСТВОВАНИЯ, НА РАЗВИТИЕ МАТЕРИАЛЬНО-ТЕХНИЧЕСКОЙ БАЗЫ</w:t>
      </w:r>
    </w:p>
    <w:p w:rsidR="00482E6C" w:rsidRDefault="00482E6C" w:rsidP="00482E6C">
      <w:pPr>
        <w:pStyle w:val="ConsPlusTitle"/>
        <w:jc w:val="center"/>
      </w:pPr>
      <w:r>
        <w:t>(ЗА ИСКЛЮЧЕНИЕМ ЛИЧНЫХ ПОДСОБНЫХ ХОЗЯЙСТВ) (ДАЛЕЕ - ПОРЯДОК)</w:t>
      </w:r>
    </w:p>
    <w:p w:rsidR="00482E6C" w:rsidRDefault="00482E6C" w:rsidP="00482E6C">
      <w:pPr>
        <w:pStyle w:val="ConsPlusNormal"/>
        <w:jc w:val="both"/>
      </w:pPr>
    </w:p>
    <w:p w:rsidR="00482E6C" w:rsidRDefault="00482E6C" w:rsidP="00482E6C">
      <w:pPr>
        <w:pStyle w:val="ConsPlusNormal"/>
        <w:jc w:val="center"/>
        <w:outlineLvl w:val="2"/>
      </w:pPr>
      <w:r>
        <w:t>I. Условия предоставления и размер субсидий</w:t>
      </w:r>
    </w:p>
    <w:p w:rsidR="00482E6C" w:rsidRDefault="00482E6C" w:rsidP="00482E6C">
      <w:pPr>
        <w:pStyle w:val="ConsPlusNormal"/>
        <w:jc w:val="both"/>
      </w:pPr>
    </w:p>
    <w:p w:rsidR="00482E6C" w:rsidRDefault="00482E6C" w:rsidP="00482E6C">
      <w:pPr>
        <w:pStyle w:val="ConsPlusNormal"/>
        <w:ind w:firstLine="540"/>
        <w:jc w:val="both"/>
      </w:pPr>
      <w:r>
        <w:t>1.1. Порядок определяет правила расчета и предоставления субсидий на поддержку малых форм хозяйствования, на развитие материально-технической базы (за исключением личных подсобных хозяйств) (далее - субсидии) из бюджетов муниципальных образований за счет субвенций из бюджета Ханты-Мансийского автономного округа - Югры (далее - автономный округ).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bookmarkStart w:id="1" w:name="P4801"/>
      <w:bookmarkEnd w:id="1"/>
      <w:r>
        <w:t>1.2. Субсидии предоставляются органами местного самоуправления муниципальных образований автономного округа (далее - Уполномоченный орган) с целью возмещения части затрат (недополученных доходов) по следующим направлениям: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модернизация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приобретение сельскохозяйственной техники из перечня, утвержденного Департаментом промышленности автономного округа (далее - Департамент), оборудования, средств механизации и автоматизации сельскохозяйственных производств;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приобретение оборудования для перерабатывающих производств сельскохозяйственной продукции;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proofErr w:type="gramStart"/>
      <w:r>
        <w:t>строительство, приобретение,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продукции.</w:t>
      </w:r>
      <w:proofErr w:type="gramEnd"/>
    </w:p>
    <w:p w:rsidR="00482E6C" w:rsidRDefault="00482E6C" w:rsidP="00482E6C">
      <w:pPr>
        <w:pStyle w:val="ConsPlusNormal"/>
        <w:spacing w:before="220"/>
        <w:ind w:firstLine="540"/>
        <w:jc w:val="both"/>
      </w:pPr>
      <w:bookmarkStart w:id="2" w:name="P4807"/>
      <w:bookmarkEnd w:id="2"/>
      <w:r>
        <w:t>1.3. Субсидии предоставляются сельскохозяйственным товаропроизводителям: крестьянским (фермерским) хозяйствам, сельскохозяйственным потребительским и производственным кооперативам, индивидуальным предпринимателям (далее - Получатели).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В целях предоставления субсидии применяются следующие понятия: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proofErr w:type="gramStart"/>
      <w:r>
        <w:t xml:space="preserve">сельскохозяйственный объект -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 с целью производства сельскохозяйственной продукции для последующей </w:t>
      </w:r>
      <w:r>
        <w:lastRenderedPageBreak/>
        <w:t>реализации;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  <w:proofErr w:type="gramEnd"/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общая полезная площадь - не менее 650 метров квадратных;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наличие действующих механизированных или автоматизированных систем поения и кормления сельскохозяйственных животных, уборки навоза, управления микроклиматом при подключении к электроснабжению, водоснабжению, системе канализации или утилизации навоза;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наличие действующей механизированной или автоматизированной системы доения (для крупного или мелкого рогатого скота молочной специализации) при подключении к электроснабжению, водоснабжению;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наличие действующих механизированных или автоматизированных систем управления микроклиматом при подключении к электроснабжению (для овощехранилищ (картофелехранилищ));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вместимость не менее 50 тонн продукции (для овощехранилищ (картофелехранилищ)).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объект перерабатывающих производств сельскохозяйственной продукции - 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 - не менее 10 единиц;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общая полезная площадь - не менее 150 метров квадратных;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наличие действующего подключения к электроснабжению, водоснабжению, системе канализации или утилизации отходов;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наличие действующего санитарно-эпидемиологического заключения соответствующего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proofErr w:type="gramStart"/>
      <w:r>
        <w:t>модернизация -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  <w:proofErr w:type="gramEnd"/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1.4. Субсидии предоставляются в размере 50 процентов от произведенных фактических затрат, но не более 3000 тыс. рублей на один объект капитального строительства, электроснабжения, водоснабжения, газоснабжения, их модернизации; не более 1000 тыс. рублей на приобретение одного комплекта сельскохозяйственного оборудования, одной единицы или одного комплекта оборудования для перерабатывающих производств сельскохозяйственной продукции; и не более 500 тыс. рублей на приобретение одной единицы сельскохозяйственной техники, средств механизации, автоматизации сельскохозяйственных производств.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Предоставленная субсидия не может быть использована Получателем на приобретение </w:t>
      </w:r>
      <w:r>
        <w:lastRenderedPageBreak/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1.5. Объем </w:t>
      </w:r>
      <w:proofErr w:type="gramStart"/>
      <w:r>
        <w:t>субсидий, предоставляемых Уполномоченным органом в текущем финансовом году каждому Получателю рассчитывается</w:t>
      </w:r>
      <w:proofErr w:type="gramEnd"/>
      <w:r>
        <w:t xml:space="preserve"> по формуле:</w:t>
      </w:r>
    </w:p>
    <w:p w:rsidR="00482E6C" w:rsidRDefault="00482E6C" w:rsidP="00482E6C">
      <w:pPr>
        <w:pStyle w:val="ConsPlusNormal"/>
        <w:jc w:val="both"/>
      </w:pPr>
    </w:p>
    <w:p w:rsidR="00482E6C" w:rsidRDefault="00482E6C" w:rsidP="00482E6C">
      <w:pPr>
        <w:pStyle w:val="ConsPlusNormal"/>
        <w:ind w:firstLine="540"/>
        <w:jc w:val="both"/>
      </w:pPr>
      <w:r>
        <w:rPr>
          <w:noProof/>
          <w:position w:val="-22"/>
        </w:rPr>
        <w:drawing>
          <wp:inline distT="0" distB="0" distL="0" distR="0">
            <wp:extent cx="1540510" cy="428625"/>
            <wp:effectExtent l="0" t="0" r="2540" b="9525"/>
            <wp:docPr id="1" name="Рисунок 1" descr="base_24478_16214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62147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6C" w:rsidRDefault="00482E6C" w:rsidP="00482E6C">
      <w:pPr>
        <w:pStyle w:val="ConsPlusNormal"/>
        <w:jc w:val="both"/>
      </w:pPr>
    </w:p>
    <w:p w:rsidR="00482E6C" w:rsidRDefault="00482E6C" w:rsidP="00482E6C">
      <w:pPr>
        <w:pStyle w:val="ConsPlusNormal"/>
        <w:ind w:firstLine="540"/>
        <w:jc w:val="both"/>
      </w:pPr>
      <w:r>
        <w:t>Vi - объем субсидий на поддержку малых форм хозяйствования в текущем финансовом году, предоставляемых Уполномоченным органом для отдельного Получателя;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Vis - объем субсидий на поддержку малых форм хозяйствования в текущем финансовом году на основании заявления отдельного Получателя;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proofErr w:type="gramStart"/>
      <w:r>
        <w:t>V</w:t>
      </w:r>
      <w:proofErr w:type="gramEnd"/>
      <w:r>
        <w:t>моs - общий объем субсидий на поддержку малых форм хозяйствования в текущем финансовом году на основании заявлений всех Получателей отдельного муниципального образования;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proofErr w:type="gramStart"/>
      <w:r>
        <w:t>V</w:t>
      </w:r>
      <w:proofErr w:type="gramEnd"/>
      <w:r>
        <w:t>мо - объем субвенций, предоставляемых отдельному муниципальному образованию из бюджета автономного округа для осуществления переданного полномочия на поддержку малых форм хозяйствования.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1.6. Основанием для перечисления субсидии является соглашение о предоставлении субсидии (далее - Соглашение), заключенное между Уполномоченным органом и Получателем.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1.7. Соглашение заключается по форме, установленной финансовым органом муниципального образования автономного округа.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1.8. Соглашение должно содержать следующие положения: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годовой размер предоставляемой субсидии в текущем году;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значения показателей результативности использования субсидии;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направления расходования субсидии;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обязательство Получателя о целевом использовании построенного, приобретенного, модернизированного объекта капитального строительства, объекта электроснабжения, водоснабжения, газоснабжения, техники и оборудования в течение первых 5 лет;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согласие Получателя на осуществление Уполномоченным органом и органами государственного (муниципального) финансового контроля проверок соблюдения Получателем целей, условий и порядка предоставления субсидии;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порядок контроля соблюдения Получателем условий Соглашения;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порядок, сроки и состав отчетности Получателя об использовании субсидии;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расчет размера штрафных санкций;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План контрольных мероприятий.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lastRenderedPageBreak/>
        <w:t>1.9. Уполномоченный орган формирует единый список Получателей субсидий на текущий год в хронологической последовательности, в соответствии с датой и временем регистрации заявлений.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1.10.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bookmarkStart w:id="3" w:name="P4845"/>
      <w:bookmarkEnd w:id="3"/>
      <w:r>
        <w:t>1.11. Требования, которым должны соответствовать Получатели на дату регистрации заявления о предоставлении субсидии: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Получатели - юридические лица не должны находиться в процессе реорганизации, ликвидации, банкротства, а Получатели - индивидуальные предприниматели не должны прекратить деятельность в качестве индивидуального предпринимателя;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proofErr w:type="gramStart"/>
      <w:r>
        <w:t xml:space="preserve">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таких юридических лиц, в совокупности превышает 50 процентов;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Получатели не должны получать средства из бюджета бюджетной системы Российской Федерации, из которого планируется предоставление субсидии в соответствии с Порядком, на основании иных нормативных правовых актов или муниципальных правовых актов на цели, указанные в </w:t>
      </w:r>
      <w:hyperlink w:anchor="P4801" w:history="1">
        <w:r>
          <w:rPr>
            <w:color w:val="0000FF"/>
          </w:rPr>
          <w:t>пункте 1.2</w:t>
        </w:r>
      </w:hyperlink>
      <w:r>
        <w:t xml:space="preserve"> Порядка.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bookmarkStart w:id="4" w:name="P4851"/>
      <w:bookmarkEnd w:id="4"/>
      <w:r>
        <w:t>1.12. Критерии отбора Получателей: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регистрация и осуществление Получателем деятельности в автономном округе;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обеспечение Получателями уровня среднемесячной номинальной заработной платы не ниже уровня, определенного настоящей государственной </w:t>
      </w:r>
      <w:hyperlink w:anchor="P48" w:history="1">
        <w:r>
          <w:rPr>
            <w:color w:val="0000FF"/>
          </w:rPr>
          <w:t>программой</w:t>
        </w:r>
      </w:hyperlink>
      <w:r>
        <w:t xml:space="preserve"> (по сельскохозяйственным организациям, не относящимся к субъектам малого предпринимательства) на соответствующий год.</w:t>
      </w:r>
    </w:p>
    <w:p w:rsidR="00482E6C" w:rsidRDefault="00482E6C" w:rsidP="00482E6C">
      <w:pPr>
        <w:pStyle w:val="ConsPlusNormal"/>
        <w:jc w:val="both"/>
      </w:pPr>
    </w:p>
    <w:p w:rsidR="00482E6C" w:rsidRDefault="00482E6C" w:rsidP="00482E6C">
      <w:pPr>
        <w:pStyle w:val="ConsPlusNormal"/>
        <w:jc w:val="center"/>
        <w:outlineLvl w:val="2"/>
      </w:pPr>
      <w:r>
        <w:t>II. Правила предоставления субсидии</w:t>
      </w:r>
    </w:p>
    <w:p w:rsidR="00482E6C" w:rsidRDefault="00482E6C" w:rsidP="00482E6C">
      <w:pPr>
        <w:pStyle w:val="ConsPlusNormal"/>
        <w:jc w:val="both"/>
      </w:pPr>
    </w:p>
    <w:p w:rsidR="00482E6C" w:rsidRDefault="00482E6C" w:rsidP="00482E6C">
      <w:pPr>
        <w:pStyle w:val="ConsPlusNormal"/>
        <w:ind w:firstLine="540"/>
        <w:jc w:val="both"/>
      </w:pPr>
      <w:bookmarkStart w:id="5" w:name="P4857"/>
      <w:bookmarkEnd w:id="5"/>
      <w:r>
        <w:t>2.1. Получатели представляют в Уполномоченный орган: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bookmarkStart w:id="6" w:name="P4858"/>
      <w:bookmarkEnd w:id="6"/>
      <w:r>
        <w:t xml:space="preserve">2.1.1. </w:t>
      </w:r>
      <w:proofErr w:type="gramStart"/>
      <w:r>
        <w:t xml:space="preserve">На капитальное строительство сельскохозяйственных объектов, объектов перерабатывающих производств сельскохозяйственной продукции; на модернизацию </w:t>
      </w:r>
      <w:r>
        <w:lastRenderedPageBreak/>
        <w:t>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  <w:proofErr w:type="gramEnd"/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а) при выполнении работ подрядным способом: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заявление о предоставлении субсидии;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реквизиты банковского счета Получателя;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утвержденной Департаментом;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справку-расчет о движении поголовья сельскохозяйственных животных по форме, утвержденной Департаментом;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копию документа, подтверждающего проведение ежегодной обязательной вакцинации и ветеринарных обработок имеющегося поголовья сельскохозяйственных животных;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копии договоров на выполнение проектно-изыскательских работ, строительно-монтажных работ;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копию проектно-сметной документации;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копии актов о приемке выполненных работ </w:t>
      </w:r>
      <w:hyperlink r:id="rId7" w:history="1">
        <w:r>
          <w:rPr>
            <w:color w:val="0000FF"/>
          </w:rPr>
          <w:t>(форма КС-2)</w:t>
        </w:r>
      </w:hyperlink>
      <w:r>
        <w:t>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копии справок о стоимости выполненных работ и затрат </w:t>
      </w:r>
      <w:hyperlink r:id="rId8" w:history="1">
        <w:r>
          <w:rPr>
            <w:color w:val="0000FF"/>
          </w:rPr>
          <w:t>(форма КС-3)</w:t>
        </w:r>
      </w:hyperlink>
      <w:r>
        <w:t>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копии документов, подтверждающих оплату выполненных работ;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копии документов, подтверждающих членство в саморегулирующей организации строителей подрядчика, выполнившего работы по капитальному строительству сельскохозяйственных объектов, объектов перерабатывающих производств сельскохозяйственной продукции; модернизации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продукции, с допуском к видам выполненных работ;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копии сертификатов качества и (или) паспорта изделия на строительные материалы, оборудование и комплектующие, использованные при строительстве (модернизации) (за исключением пиломатериалов).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б) при выполнении работ собственными силами: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заявление о предоставлении субсидии;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реквизиты банковского счета Получателя;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</w:t>
      </w:r>
      <w:r>
        <w:lastRenderedPageBreak/>
        <w:t>утвержденной Департаментом;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справку-расчет о движении поголовья сельскохозяйственных животных по форме, утвержденной Департаментом;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копию документа, подтверждающего проведение ежегодной обязательной вакцинации и ветеринарных обработок имеющегося поголовья сельскохозяйственных животных;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отчет об оценке объекта, составленный в соответствии с законодательством Российской Федерации об оценочной деятельности;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копии сертификатов качества и (или) паспорта изделия на строительные материалы, оборудование и комплектующие, использованные при строительстве (модернизации) (за исключением пиломатериалов).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bookmarkStart w:id="7" w:name="P4881"/>
      <w:bookmarkEnd w:id="7"/>
      <w:r>
        <w:t>2.1.2.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заявление о предоставлении субсидии;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реквизиты банковского счета Получателя;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утвержденной Департаментом;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отчет, составленный в соответствии с законодательством Российской Федерации об оценочной деятельности (для приобретенных сельскохозяйственной техники, оборудования, средств механизации и автоматизации, бывших в эксплуатации);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справку-расчет о движении поголовья сельскохозяйственных животных по формам, утвержденным Департаментом;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копию документа, подтверждающего проведение ежегодной обязательной вакцинации и ветеринарных обработок имеющегося поголовья сельскохозяйственных животных;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</w:r>
      <w:proofErr w:type="gramEnd"/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копию технического паспорта сельскохозяйственной техники, оборудования, средств механизации и автоматизации сельскохозяйственных производств;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копию паспорта транспортного средства (для транспортных средств);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копию свидетельства о регистрации ТС (для транспортных средств).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bookmarkStart w:id="8" w:name="P4892"/>
      <w:bookmarkEnd w:id="8"/>
      <w:r>
        <w:t xml:space="preserve">2.2. Уполномоченный орган самостоятельно в течение 1 рабочего дня запрашивает в порядке межведомственного информационного взаимодействия, установленного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по необходимости, следующие документы: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lastRenderedPageBreak/>
        <w:t>документы об отсутствии задолженности по начисленным налогам, сборам и иным обязательным платежам в государственные внебюджетные фонды;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сведения о государственной регистрации права собственности на построенный или модернизированный объект;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сведения о вводе объекта в эксплуатацию (при необходимости - в соответствии с действующим законодательством).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Указанные документы могут быть представлены Получателем самостоятельно в день подачи заявления на предоставление субсидии.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2.3. Требовать от Получателя представления документов (копий документов), не предусмотренных Порядком, не допускается.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2.4. Документы (копии документов), предусмотренные в </w:t>
      </w:r>
      <w:hyperlink w:anchor="P4857" w:history="1">
        <w:r>
          <w:rPr>
            <w:color w:val="0000FF"/>
          </w:rPr>
          <w:t>пункте 2.1</w:t>
        </w:r>
      </w:hyperlink>
      <w:r>
        <w:t xml:space="preserve"> Порядка, представляются в Уполномоченный орган одним из следующих способов: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сформированными</w:t>
      </w:r>
      <w:proofErr w:type="gramEnd"/>
      <w:r>
        <w:t xml:space="preserve">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2) через многофункциональный центр предоставления государственных и муниципальных услуг (далее - многофункциональный центр). Порядок передачи многофункциональным центром принятых заявлений и документов в Уполномоченный орган определяется соглашением, заключенным между Уполномоченным органом и многофункциональным центром;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3) в электронной форме - подписанные усиленной квалифицированной электронной подписью на адрес электронной почты Уполномоченного органа, или с использованием федеральной государственной информационной системы "Единый портал государственных и муниципальных услуг (функций)" региональной информационной системы "Портал государственных и муниципальных услуг Ханты-Мансийского автономного округа - Югры".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2.5. Уполномоченный орган в течение 5 рабочих дней со дня получения документов, указанных в </w:t>
      </w:r>
      <w:hyperlink w:anchor="P4858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4881" w:history="1">
        <w:r>
          <w:rPr>
            <w:color w:val="0000FF"/>
          </w:rPr>
          <w:t>2.1.2 пункта 2.1</w:t>
        </w:r>
      </w:hyperlink>
      <w:r>
        <w:t xml:space="preserve">, </w:t>
      </w:r>
      <w:hyperlink w:anchor="P4892" w:history="1">
        <w:r>
          <w:rPr>
            <w:color w:val="0000FF"/>
          </w:rPr>
          <w:t>пункте 2.2</w:t>
        </w:r>
      </w:hyperlink>
      <w:r>
        <w:t xml:space="preserve"> Порядка, </w:t>
      </w:r>
      <w:proofErr w:type="gramStart"/>
      <w:r>
        <w:t>осуществляет их проверку на предмет достоверности сведений и направляет</w:t>
      </w:r>
      <w:proofErr w:type="gramEnd"/>
      <w:r>
        <w:t xml:space="preserve"> поступившие документы на рассмотрение комиссии по предоставлению государственной поддержки сельскохозяйственным товаропроизводителям, действующей при Уполномоченном органе (далее - комиссия). Положение о комиссии и ее состав утверждаются правовым актом Уполномоченного органа. Комиссией в течение 3 рабочих дней со дня поступления на ее рассмотрение документов, указанных в </w:t>
      </w:r>
      <w:hyperlink w:anchor="P4858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4881" w:history="1">
        <w:r>
          <w:rPr>
            <w:color w:val="0000FF"/>
          </w:rPr>
          <w:t>2.1.2 пункта 2.1</w:t>
        </w:r>
      </w:hyperlink>
      <w:r>
        <w:t xml:space="preserve">, </w:t>
      </w:r>
      <w:hyperlink w:anchor="P4892" w:history="1">
        <w:r>
          <w:rPr>
            <w:color w:val="0000FF"/>
          </w:rPr>
          <w:t>пункте 2.2</w:t>
        </w:r>
      </w:hyperlink>
      <w:r>
        <w:t xml:space="preserve"> Порядка, принимается одно из следующих решений: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о предоставлении субсидии;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об отказе в предоставлении субсидии.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Решение оформляется протоколом заседания комиссии.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proofErr w:type="gramStart"/>
      <w:r>
        <w:t xml:space="preserve">С даты выявления противоречий по содержанию между документами, в том числе по обстоятельствам и фактам, указанным в них (сведения, цифровые данные и показатели по </w:t>
      </w:r>
      <w:r>
        <w:lastRenderedPageBreak/>
        <w:t>деятельности), в целях уточнения и устранения противоречий Уполномоченный орган обращается с письменным либо устным запросом к Получателю субсидии, в соответствующие государственные органы, органы местного самоуправления и организации, в том числе с выездом к месту нахождения Получателя</w:t>
      </w:r>
      <w:proofErr w:type="gramEnd"/>
      <w:r>
        <w:t xml:space="preserve"> субсидии, в срок, установленный в настоящем пункте. Срок рассмотрения заявления может быть продлен на 20 рабочих дней со дня окончания срока, установленного настоящим пунктом, а все материалы по выявленным и устраненным противоречиям и произведенным уточнениям прилагаются к материалам заявления Получателя субсидии.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bookmarkStart w:id="9" w:name="P4908"/>
      <w:bookmarkEnd w:id="9"/>
      <w:r>
        <w:t>2.6. В случае принятия решения о предоставлении субсидии Уполномоченный орган в течение 3 рабочих дней со дня принятия решения направляет Получателю подписанное со стороны Уполномоченного органа Соглашение (дополнительное соглашение - применяется при наличии действующего Соглашения) для его подписания лично или посредством почтового отправления.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Получатель в течение 5 рабочих дней </w:t>
      </w:r>
      <w:proofErr w:type="gramStart"/>
      <w:r>
        <w:t>с даты получения</w:t>
      </w:r>
      <w:proofErr w:type="gramEnd"/>
      <w:r>
        <w:t xml:space="preserve">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срок, считается отказавшимся от получения субсидии.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2.7. В случае принятия решения об отказе в предоставлении субсидии Уполномоченный орган в течение 3 рабочих дней со дня его принятия направляет Получателю уведомление об отказе в предоставлении субсидии с указанием причин отказа.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bookmarkStart w:id="10" w:name="P4911"/>
      <w:bookmarkEnd w:id="10"/>
      <w:r>
        <w:t>2.8. Основаниями для отказа в предоставлении субсидии являются: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отсутствие лимитов, предусмотренных для предоставления субсидий в бюджете автономного округа;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непредставление Получателем документов, указанных в </w:t>
      </w:r>
      <w:hyperlink w:anchor="P4858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4881" w:history="1">
        <w:r>
          <w:rPr>
            <w:color w:val="0000FF"/>
          </w:rPr>
          <w:t>2.1.2 пункта 2.1</w:t>
        </w:r>
      </w:hyperlink>
      <w:r>
        <w:t xml:space="preserve">, </w:t>
      </w:r>
      <w:hyperlink w:anchor="P4908" w:history="1">
        <w:r>
          <w:rPr>
            <w:color w:val="0000FF"/>
          </w:rPr>
          <w:t>пункте 2.6</w:t>
        </w:r>
      </w:hyperlink>
      <w:r>
        <w:t xml:space="preserve"> Порядка;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представление документов с нарушением требований к их оформлению;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выявление в представленных документах сведений, не соответствующих действительности;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несоответствие Получателя требованиям, установленным </w:t>
      </w:r>
      <w:hyperlink w:anchor="P4807" w:history="1">
        <w:r>
          <w:rPr>
            <w:color w:val="0000FF"/>
          </w:rPr>
          <w:t>пунктами 1.3</w:t>
        </w:r>
      </w:hyperlink>
      <w:r>
        <w:t xml:space="preserve">, </w:t>
      </w:r>
      <w:hyperlink w:anchor="P4845" w:history="1">
        <w:r>
          <w:rPr>
            <w:color w:val="0000FF"/>
          </w:rPr>
          <w:t>1.11</w:t>
        </w:r>
      </w:hyperlink>
      <w:r>
        <w:t xml:space="preserve">, </w:t>
      </w:r>
      <w:hyperlink w:anchor="P4851" w:history="1">
        <w:r>
          <w:rPr>
            <w:color w:val="0000FF"/>
          </w:rPr>
          <w:t>1.12</w:t>
        </w:r>
      </w:hyperlink>
      <w:r>
        <w:t xml:space="preserve"> Порядка;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наличие стажа деятельности Получателя на дату обращения в Уполномоченный орган, не превышающего 12 месяцев со дня его государственной регистрации на территории автономного округа;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предоставление Получателю 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на создание и развитие крестьянского (фермерского) хозяйства, грант на развитие семейной животноводческой фермы на базе крестьянского (фермерского) хозяйства;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наполняемость имеющихся животноводческих помещений (зданий, сооружений) сельскохозяйственными животными соответствующего вида менее 90 процентов расчетной вместимости;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год изготовления и (или) начала эксплуатации приобретенных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 продукции ранее отчетного финансового года;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lastRenderedPageBreak/>
        <w:t>отсутствие государственной регистрации построенных,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продукции, объектов электроснабжения, водоснабжения, газоснабжения, обеспечивающих производство и (или) переработку сельскохозяйственной продукции.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 xml:space="preserve">2.9. В случае отсутствия оснований, предусмотренных в </w:t>
      </w:r>
      <w:hyperlink w:anchor="P4911" w:history="1">
        <w:r>
          <w:rPr>
            <w:color w:val="0000FF"/>
          </w:rPr>
          <w:t>пункте 2.8</w:t>
        </w:r>
      </w:hyperlink>
      <w:r>
        <w:t xml:space="preserve"> Порядка, Уполномоченный орган осуществляет перечисление субсидии Получателю в пределах утвержденных бюджетных ассигнований. Перечисление средств осуществляется в порядке, сроки и на счета, установленные Соглашением.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2.10. Уполномоченный орган может перераспределять лимиты бюджетных обязательств между Получателями в течение текущего финансового года в случае отказа или экономии в предоставлении субсидии одному или нескольким Получателям.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2.11. Уполномоченный орган совместно с органами муниципального финансового контроля осуществляет обязательную проверку соблюдения Получателем целей, условий и порядка предоставления субсидии, согласно Плану контрольных мероприятий, являющемуся неотъемлемой частью Соглашения.</w:t>
      </w:r>
    </w:p>
    <w:p w:rsidR="00482E6C" w:rsidRDefault="00482E6C" w:rsidP="00482E6C">
      <w:pPr>
        <w:pStyle w:val="ConsPlusNormal"/>
        <w:jc w:val="both"/>
      </w:pPr>
    </w:p>
    <w:p w:rsidR="00482E6C" w:rsidRDefault="00482E6C" w:rsidP="00482E6C">
      <w:pPr>
        <w:pStyle w:val="ConsPlusNormal"/>
        <w:jc w:val="center"/>
        <w:outlineLvl w:val="2"/>
      </w:pPr>
      <w:r>
        <w:t>III. Правила возврата субсидии в случае нарушения условий,</w:t>
      </w:r>
    </w:p>
    <w:p w:rsidR="00482E6C" w:rsidRDefault="00482E6C" w:rsidP="00482E6C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при ее предоставлении</w:t>
      </w:r>
    </w:p>
    <w:p w:rsidR="00482E6C" w:rsidRDefault="00482E6C" w:rsidP="00482E6C">
      <w:pPr>
        <w:pStyle w:val="ConsPlusNormal"/>
        <w:jc w:val="both"/>
      </w:pPr>
    </w:p>
    <w:p w:rsidR="00482E6C" w:rsidRDefault="00482E6C" w:rsidP="00482E6C">
      <w:pPr>
        <w:pStyle w:val="ConsPlusNormal"/>
        <w:ind w:firstLine="540"/>
        <w:jc w:val="both"/>
      </w:pPr>
      <w:r>
        <w:t>3.1. В случае выявления нарушения Получателем условий, установленных при предоставлении субсидии, представления Получателем недостоверных сведений, ненадлежащего исполнения Соглашения: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3.1.1. Уполномоченный орган в течение 5 рабочих дней направляет Получателю письменное уведомление о необходимости возврата субсидии (далее - уведомление).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3.1.2. Получатель в течение 30 рабочих дней со дня получения уведомления обязан выполнить требования, указанные в нем.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3.1.3.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3.2. В случае выявления факта недостижения показателей результативности использования субсидии, установленных Соглашением: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3.2.1. Уполномоченный орган в течение 5 рабочих дней направляет Получателю письменное требование о необходимости уплаты штрафов (далее - требование) с указанием сроков оплаты.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Расчет суммы штрафа осуществляется по форме, установленной Соглашением.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3.2.2. При неоплате Получателем начисленного штрафа в установленный требованием срок Уполномоченный орган обращается в суд в соответствии с законодательством Российской Федерации.</w:t>
      </w:r>
    </w:p>
    <w:p w:rsidR="00482E6C" w:rsidRDefault="00482E6C" w:rsidP="00482E6C">
      <w:pPr>
        <w:pStyle w:val="ConsPlusNormal"/>
        <w:spacing w:before="220"/>
        <w:ind w:firstLine="540"/>
        <w:jc w:val="both"/>
      </w:pPr>
      <w:r>
        <w:t>3.3. Ответственность за достоверность фактических показателей, сведений в представленных документах несет Получатель.</w:t>
      </w:r>
    </w:p>
    <w:p w:rsidR="00482E6C" w:rsidRDefault="00482E6C" w:rsidP="00482E6C">
      <w:pPr>
        <w:pStyle w:val="ConsPlusNormal"/>
        <w:jc w:val="both"/>
      </w:pPr>
    </w:p>
    <w:p w:rsidR="00B01060" w:rsidRDefault="00B01060">
      <w:bookmarkStart w:id="11" w:name="_GoBack"/>
      <w:bookmarkEnd w:id="11"/>
    </w:p>
    <w:sectPr w:rsidR="00B0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26"/>
    <w:rsid w:val="00482E6C"/>
    <w:rsid w:val="009C3626"/>
    <w:rsid w:val="00B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0114C8FDACF6739A7B5D0B3D6FEC2DBEC93F759781E81E89F47CBD2FF4A787513774FD077A4A6o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0114C8FDACF6739A7B5D0B3D6FEC2DBEC93F759781E81E89F47CBD2FF4A787513774FD074A7A6o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0114C8FDACF6739A7B5D0B3D6FEC2DBE293F65C70438BE0C64BC9D5F0156F725A7BA4oA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0114C8FDACF6739A7B5D0B3D6FEC2DBE890F75C70438BE0C64BC9D5AF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3794</Words>
  <Characters>21630</Characters>
  <Application>Microsoft Office Word</Application>
  <DocSecurity>0</DocSecurity>
  <Lines>180</Lines>
  <Paragraphs>50</Paragraphs>
  <ScaleCrop>false</ScaleCrop>
  <Company/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Олаг Светлана Расфаровна</dc:creator>
  <cp:keywords/>
  <dc:description/>
  <cp:lastModifiedBy>Олаг Светлана Расфаровна</cp:lastModifiedBy>
  <cp:revision>2</cp:revision>
  <dcterms:created xsi:type="dcterms:W3CDTF">2018-09-21T04:28:00Z</dcterms:created>
  <dcterms:modified xsi:type="dcterms:W3CDTF">2018-09-21T04:28:00Z</dcterms:modified>
</cp:coreProperties>
</file>