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C4" w:rsidRDefault="00C50CC4" w:rsidP="00C50C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регистр»</w:t>
      </w:r>
    </w:p>
    <w:p w:rsidR="00C50CC4" w:rsidRDefault="00C50CC4" w:rsidP="00C50C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42E" w:rsidRDefault="00C6442E" w:rsidP="00C50C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DAi6f0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C6442E" w:rsidRDefault="00C6442E" w:rsidP="00C50CC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C4" w:rsidRDefault="00C50CC4" w:rsidP="00C5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</w:rPr>
      </w:pPr>
      <w:r>
        <w:rPr>
          <w:rFonts w:ascii="Times New Roman" w:eastAsia="Times New Roman" w:hAnsi="Times New Roman" w:cs="Times New Roman"/>
          <w:spacing w:val="20"/>
          <w:sz w:val="32"/>
          <w:szCs w:val="20"/>
        </w:rPr>
        <w:t>АДМИНИСТРАЦИЯ ГОРОДА ЮГОРСКА</w:t>
      </w:r>
    </w:p>
    <w:p w:rsidR="00C50CC4" w:rsidRDefault="00C50CC4" w:rsidP="00C50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50CC4" w:rsidRDefault="00C50CC4" w:rsidP="00C5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CC4" w:rsidRDefault="00C50CC4" w:rsidP="00C50C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ПОСТАНОВЛЕНИЕ</w:t>
      </w:r>
    </w:p>
    <w:p w:rsidR="00C50CC4" w:rsidRDefault="00C50CC4" w:rsidP="00C50C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</w:rPr>
      </w:pPr>
    </w:p>
    <w:p w:rsidR="00C50CC4" w:rsidRDefault="00C50CC4" w:rsidP="00C50C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(с изменениями от 14.04.2014 № 1514,  18.11.2014 № 6243, 25.11.2014 № 6390,  22.12.2014 № 7222,  26.01.2015 № 258, 01.12.2015 №3480, 21.12.2015 №3698, 23.11.2016 №</w:t>
      </w:r>
      <w:r w:rsidR="00772C76">
        <w:rPr>
          <w:rFonts w:ascii="Times New Roman" w:eastAsia="Calibri" w:hAnsi="Times New Roman" w:cs="Times New Roman"/>
          <w:sz w:val="18"/>
          <w:szCs w:val="18"/>
          <w:lang w:eastAsia="en-US"/>
        </w:rPr>
        <w:t>2897</w:t>
      </w:r>
      <w:r w:rsidR="0055308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r w:rsidR="005915D0">
        <w:rPr>
          <w:rFonts w:ascii="Times New Roman" w:eastAsia="Calibri" w:hAnsi="Times New Roman" w:cs="Times New Roman"/>
          <w:sz w:val="18"/>
          <w:szCs w:val="18"/>
          <w:lang w:eastAsia="en-US"/>
        </w:rPr>
        <w:t>25.12.2017 № 3295, 25.12.2017 № 3297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50CC4" w:rsidRDefault="00C50CC4" w:rsidP="00C5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 31 октября 2013                                                                                                                № __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3291__</w:t>
      </w:r>
    </w:p>
    <w:p w:rsidR="00C50CC4" w:rsidRDefault="00C50CC4" w:rsidP="00C5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муниципальной программе города Югорска </w:t>
      </w: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«Энергосбережение и повышение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энергетической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эффективности города Югорска на 2014-2020 годы»</w:t>
      </w: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Югорска от 07.10.2013 №2906 «О муниципальных и ведомственных целевых программах города Югорска», распоряжением администрации города Югорска от 02.09.2013 №517 «О перечне муниципальных программ города Югорска» в  целях  повышения энергетической эффективности города:</w:t>
      </w:r>
      <w:proofErr w:type="gramEnd"/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1. Утвердить муниципальную программу города Югорска «Энергосбережение и повышение энергетической эффективности города Югорска на 2014-2020 годы» (приложение).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2. Признать утратившим силу постановления администрации города Югорска: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29.07.2010 № 1364 «Об утверждении долгосрочной целевой программы «Энергосбережение и повышение энергетической эффективности города Югорска на 2010-2015 годы»;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31.08.2010 № 1556 «О внесении изменений в постановление администрации города Югорска от 29.07.2010 № 1364»;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10.09.2012 №2225 «О внесении изменений в постановление администрации города Югорска от 29.07.2010 № 1364»;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25.12.2012 № 3416 «О внесении изменений в постановление администрации города Югорска от 29.07.2010 № 1364»;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26.12.2013 № 4251 «О внесении изменений в постановление администрации города Югорска от 29.07.2010 № 1364».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Опубликовать постановление в газете «Югорский вестник» и разместить на официальном сайте администрации города Югорска.</w:t>
      </w:r>
    </w:p>
    <w:p w:rsidR="00C50CC4" w:rsidRDefault="00C50CC4" w:rsidP="00C50C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Настоящее постановление вступает в силу после его официального опубликования в газете «Югорский вестник», но не ранее 01.01.2014.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Бандурина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города Югорска                                                                         М.И.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Бодак</w:t>
      </w:r>
      <w:proofErr w:type="spellEnd"/>
    </w:p>
    <w:p w:rsidR="00C50CC4" w:rsidRDefault="00C50CC4" w:rsidP="00C50C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0CC4" w:rsidRDefault="00C50CC4" w:rsidP="00C50C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08B9" w:rsidRDefault="00D408B9" w:rsidP="003767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0CC4" w:rsidRDefault="00C50CC4" w:rsidP="003767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 к постановлению </w:t>
      </w: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408B9">
        <w:rPr>
          <w:rFonts w:ascii="Times New Roman" w:hAnsi="Times New Roman" w:cs="Times New Roman"/>
          <w:b/>
          <w:sz w:val="24"/>
          <w:szCs w:val="24"/>
          <w:u w:val="single"/>
        </w:rPr>
        <w:t>31 октября 2013</w:t>
      </w:r>
      <w:r w:rsidRPr="00D408B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D408B9">
        <w:rPr>
          <w:rFonts w:ascii="Times New Roman" w:hAnsi="Times New Roman" w:cs="Times New Roman"/>
          <w:b/>
          <w:sz w:val="24"/>
          <w:szCs w:val="24"/>
          <w:u w:val="single"/>
        </w:rPr>
        <w:t>3291</w:t>
      </w:r>
      <w:r w:rsidRPr="00D40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DC">
        <w:rPr>
          <w:rFonts w:ascii="Times New Roman" w:hAnsi="Times New Roman" w:cs="Times New Roman"/>
          <w:b/>
          <w:sz w:val="24"/>
          <w:szCs w:val="24"/>
        </w:rPr>
        <w:t>Муниципальная программа города Югорска «Энергосбережение и повышение энергетической эффективности города Югорска на 2014 –  2020 годы»</w:t>
      </w:r>
    </w:p>
    <w:p w:rsidR="003767DC" w:rsidRPr="003767DC" w:rsidRDefault="003767DC" w:rsidP="003767DC">
      <w:pPr>
        <w:pStyle w:val="a3"/>
        <w:jc w:val="center"/>
        <w:rPr>
          <w:rStyle w:val="FontStyle232"/>
          <w:b w:val="0"/>
          <w:bCs w:val="0"/>
        </w:rPr>
      </w:pPr>
      <w:r w:rsidRPr="003767DC">
        <w:rPr>
          <w:rStyle w:val="FontStyle232"/>
          <w:b w:val="0"/>
          <w:bCs w:val="0"/>
        </w:rPr>
        <w:t xml:space="preserve">(далее – муниципальная </w:t>
      </w:r>
      <w:r w:rsidR="00091BFE">
        <w:rPr>
          <w:rStyle w:val="FontStyle232"/>
          <w:b w:val="0"/>
          <w:bCs w:val="0"/>
        </w:rPr>
        <w:t>п</w:t>
      </w:r>
      <w:r w:rsidRPr="003767DC">
        <w:rPr>
          <w:rStyle w:val="FontStyle232"/>
          <w:b w:val="0"/>
          <w:bCs w:val="0"/>
        </w:rPr>
        <w:t>рограмма)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67DC">
        <w:rPr>
          <w:rStyle w:val="FontStyle232"/>
          <w:bCs w:val="0"/>
        </w:rPr>
        <w:t>Паспорт муниципальной программы</w:t>
      </w:r>
    </w:p>
    <w:tbl>
      <w:tblPr>
        <w:tblpPr w:leftFromText="180" w:rightFromText="180" w:vertAnchor="text" w:horzAnchor="margin" w:tblpXSpec="center" w:tblpY="508"/>
        <w:tblW w:w="9922" w:type="dxa"/>
        <w:tblLayout w:type="fixed"/>
        <w:tblLook w:val="0000" w:firstRow="0" w:lastRow="0" w:firstColumn="0" w:lastColumn="0" w:noHBand="0" w:noVBand="0"/>
      </w:tblPr>
      <w:tblGrid>
        <w:gridCol w:w="2551"/>
        <w:gridCol w:w="7371"/>
      </w:tblGrid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города Югорска на 2014 – 2020 годы</w:t>
            </w:r>
          </w:p>
        </w:tc>
      </w:tr>
      <w:tr w:rsidR="003767DC" w:rsidRPr="003767DC" w:rsidTr="002241DD">
        <w:trPr>
          <w:trHeight w:val="7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Югорска от 31.10.2013 </w:t>
            </w:r>
            <w:r w:rsidR="00D408B9">
              <w:rPr>
                <w:rFonts w:ascii="Times New Roman" w:hAnsi="Times New Roman" w:cs="Times New Roman"/>
                <w:sz w:val="24"/>
                <w:szCs w:val="24"/>
              </w:rPr>
              <w:t xml:space="preserve">           №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3291 «О муниципальной программе «Энергосбережение и повышение энергетической эффективности города Югорска </w:t>
            </w:r>
            <w:r w:rsidR="00D40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2014-2020 годы»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Департамент жилищно – коммунального и строительного комплекса администрации города Югорска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топливно-энергетич</w:t>
            </w:r>
            <w:r w:rsidR="00240BBC">
              <w:rPr>
                <w:rFonts w:ascii="Times New Roman" w:hAnsi="Times New Roman" w:cs="Times New Roman"/>
                <w:sz w:val="24"/>
                <w:szCs w:val="24"/>
              </w:rPr>
              <w:t>еских ресурсов в городе Югорске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муниципальной 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1. Развитие энергосбережения и повышение энергетической эффективности в муниципальном секторе.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2. Развитие энергосбережения и повышение энергетической эффективности в жилищном фонде.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3. Развитие энергосбережения и повышение энергетической эффективности в системах коммунальной инфраструктуры.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4. Развитие энергосбережения и повышение энергетической эффективности в транспортном комплексе.</w:t>
            </w:r>
          </w:p>
        </w:tc>
      </w:tr>
      <w:tr w:rsidR="003767DC" w:rsidRPr="003767DC" w:rsidTr="002241DD">
        <w:trPr>
          <w:trHeight w:val="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101D35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0BB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915D0" w:rsidRPr="003767DC" w:rsidTr="002241DD">
        <w:trPr>
          <w:trHeight w:val="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5D0" w:rsidRPr="003767DC" w:rsidRDefault="005915D0" w:rsidP="005915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муниципальной 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удельного расхода электрической энергии на снабжение органов  местного самоуправления и муниципальных учреждений (в расчете на 1 кв.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площади) не более чем  35,2</w:t>
            </w: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удельного расхода тепловой энергии на снабжение  органов  местного самоуправления и муниципальных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кв. метр общей площади) с 0,2</w:t>
            </w: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0,13 Гкал/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удельного расхода холодной воды на снабжение  органов  местного самоуправления и муниципальных учреждений          (в расчете на 1 человека) </w:t>
            </w:r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8,3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</w:t>
            </w:r>
            <w:proofErr w:type="gramStart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/чел. до 3,0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/чел.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удельного расхода горячей воды на снабжение  органов  местного самоуправления и муниципальных учреждений          </w:t>
            </w: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 расчете на 1 человека) </w:t>
            </w:r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3,2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</w:t>
            </w:r>
            <w:proofErr w:type="gramStart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/чел. до 1,5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/чел.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удельного расхода природного газа на снабжение органов местного самоуправления и муниципальных учреждений           (в расчете на 1 человека) 0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./чел.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(контрактов), заключенных  органами  местного самоуправления и муниципальными учреждениями, к общему объему финансирования муниципальной программы с 0 до 93,2 %.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(контрактов), заключенных  органами  местного самоуправления и муниципальными учреждениями с 0 до 1 ед.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электрической энергии в многоквартирных домах (в расчете на 1 кв. метр общей площади) не более чем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37,2 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Втч</w:t>
            </w:r>
            <w:proofErr w:type="spell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тепловой энергии в многоквартирных домах (в расчете на 1 кв. метр общей площади) с 0,2 до 0,16 Гкал/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холодной воды в многоквартирных домах (в расчете на 1 жителя) с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28,0 до 24,1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горячей воды в многоквартирных домах (в расчете на 1 жителя) с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19,5 до 14,9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природного газа в многоквартирных домах с иными системами теплоснабжения           (в расчете на 1 жителя) с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109,0 до 66,0 куб./чел.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суммарного расхода энергетических ресурсов в многоквартирных домах с 0,03 до 0,02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Сохранение удельного расхода природного газа в многоквартирных домах с индивидуальными системами газового отопления (в расчете на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метр общей площади) 0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выступлений в средствах массовой информации</w:t>
            </w:r>
            <w:r w:rsidRPr="003C4B3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посвященных информированию и пропаганде среди населения города Югорска энергосбережения и повышения энергетической эффективности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  2,0 ед.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топлива на выработку тепловой энергии на котельных 0,2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./Гкал.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электрической энергии, используемой при передаче тепловой энергии в системах теплоснабжения с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41,2 до 34,0 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</w:t>
            </w:r>
            <w:proofErr w:type="spell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доли потерь тепловой энергии 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при ее передаче в общем объеме переданной тепловой энергии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более чем 26,8 %.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доли потерь воды при ее передаче в общем объеме переданной воды не более чем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расхода электрической энергии, используемой для передачи (транспортировки) воды в системах водоснабжения (на 1 куб. метр) не более чем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0,92 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расхода электрической энергии, используемой в системах водоотведения (на 1 куб. метр) не более чем 1,07 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расхода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чем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удельного расхода топлива на выработку тепловой энергии на тепловых электростанциях 0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высокоэкономичных по использованию моторного топлива и электрической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0 ед.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Сохранение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электрической энергией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ед.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униципальным образованием 0 ед.</w:t>
            </w:r>
          </w:p>
          <w:p w:rsidR="005915D0" w:rsidRPr="005915D0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униципальным образованием 0 ед.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 до 1 ед.</w:t>
            </w:r>
            <w:proofErr w:type="gramEnd"/>
          </w:p>
          <w:p w:rsidR="005915D0" w:rsidRPr="005915D0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 0 до 1 ед.</w:t>
            </w:r>
          </w:p>
        </w:tc>
      </w:tr>
      <w:tr w:rsidR="005915D0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5D0" w:rsidRPr="003767DC" w:rsidRDefault="005915D0" w:rsidP="005915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D0" w:rsidRPr="003767DC" w:rsidRDefault="005915D0" w:rsidP="0059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  <w:p w:rsidR="005915D0" w:rsidRPr="003767DC" w:rsidRDefault="005915D0" w:rsidP="0059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D0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5D0" w:rsidRPr="003767DC" w:rsidRDefault="005915D0" w:rsidP="005915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5915D0" w:rsidRPr="003767DC" w:rsidRDefault="005915D0" w:rsidP="0059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D0" w:rsidRPr="005915D0" w:rsidRDefault="005915D0" w:rsidP="00811BE5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Программы  за счет средств окружного бюджета, бюджета города Югорска и внебюджетных источников составляет: 101 340,7  тыс. руб., в том числе по годам: 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2014 год – 46 338,4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2015 год –   4 310,0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2016 год –   4 310,0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2017 год – 32 402,3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2018 год –   4 860,0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2019 год –   4 060,0  тыс. руб.;</w:t>
            </w:r>
          </w:p>
          <w:p w:rsid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2020 год –   5 060,0  тыс. руб.</w:t>
            </w:r>
          </w:p>
          <w:p w:rsidR="00811BE5" w:rsidRPr="005915D0" w:rsidRDefault="00811BE5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В том числе из средств окружного бюджета в общем объеме             413,4 тыс. руб., в том числе по годам: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BE5">
              <w:rPr>
                <w:rFonts w:ascii="Times New Roman" w:hAnsi="Times New Roman" w:cs="Times New Roman"/>
                <w:sz w:val="24"/>
                <w:szCs w:val="24"/>
              </w:rPr>
              <w:t xml:space="preserve">014 год – 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413,4  тыс. руб.;</w:t>
            </w:r>
          </w:p>
          <w:p w:rsidR="005915D0" w:rsidRPr="005915D0" w:rsidRDefault="00811BE5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     </w:t>
            </w:r>
            <w:r w:rsidR="005915D0"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5915D0" w:rsidRPr="005915D0" w:rsidRDefault="00811BE5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     </w:t>
            </w:r>
            <w:r w:rsidR="005915D0"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5915D0" w:rsidRPr="005915D0" w:rsidRDefault="00811BE5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     </w:t>
            </w:r>
            <w:r w:rsidR="005915D0"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5915D0" w:rsidRPr="005915D0" w:rsidRDefault="00811BE5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     </w:t>
            </w:r>
            <w:r w:rsidR="005915D0"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5915D0" w:rsidRPr="005915D0" w:rsidRDefault="00811BE5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   </w:t>
            </w:r>
            <w:r w:rsidR="005915D0"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5915D0" w:rsidRPr="005915D0" w:rsidRDefault="00811BE5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     </w:t>
            </w:r>
            <w:r w:rsidR="005915D0"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           В том числе из средств бюджета города Югорска  в общем объеме 7 642,3 тыс. руб., в том числе по годам: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2014 год – 3 000,0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2015 год –    500,0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2016 год –    500,0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2017 год – 2 092,3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2018 год – 1 050,0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2019 год –    250,0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2020 год –    250,0  тыс. руб.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          В том числе из средств внебюджетных источников в общем объеме 93 285,0 тыс. руб., в том числе по годам: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2014 год – 42 925,0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2015 год –   3 810,0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2016 год –   3 810,0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2017 год – 30 310,0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2018 год –   3 810,0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2019 год –   3 810,0  тыс. руб.;</w:t>
            </w:r>
          </w:p>
          <w:p w:rsidR="005915D0" w:rsidRPr="003767DC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2020 год –   4 810,0  тыс. руб.</w:t>
            </w:r>
          </w:p>
        </w:tc>
      </w:tr>
      <w:bookmarkEnd w:id="0"/>
    </w:tbl>
    <w:p w:rsidR="003767DC" w:rsidRDefault="003767DC" w:rsidP="003767DC">
      <w:pPr>
        <w:pStyle w:val="a3"/>
        <w:rPr>
          <w:rStyle w:val="FontStyle232"/>
          <w:b w:val="0"/>
          <w:bCs w:val="0"/>
        </w:rPr>
      </w:pPr>
    </w:p>
    <w:p w:rsidR="00091BFE" w:rsidRPr="003767DC" w:rsidRDefault="00091BFE" w:rsidP="003767DC">
      <w:pPr>
        <w:pStyle w:val="a3"/>
        <w:rPr>
          <w:rStyle w:val="FontStyle232"/>
          <w:b w:val="0"/>
          <w:bCs w:val="0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DC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социально-экономического развития города Югорска</w:t>
      </w:r>
    </w:p>
    <w:p w:rsidR="00811BE5" w:rsidRPr="00811BE5" w:rsidRDefault="0048033E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Toc290551831"/>
      <w:bookmarkStart w:id="2" w:name="_Toc291600100"/>
      <w:bookmarkStart w:id="3" w:name="_Toc291837767"/>
      <w:bookmarkStart w:id="4" w:name="_Toc314052697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>Состояние сферы социально-экономического развития города Югорска представлено на момент формирования программы.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23 ноября 2009 года принят Федеральный закон № 261-ФЗ «Об энергосбережении 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Федерации». Действие настоящего Федерального закона распространяется на деятельность, связанную с использованием, производством и передачей энергетических ресурсов и затрагивает непосредственно сферу жилищно-коммунального комплекса. 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Жилищно-коммунальный комплекс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- Югре до сих пор является зоной повышенных социально-экономических и политических рисков. Остро стоит задача повышения энергетической эффективности, снижения расходов энергетических ресурсов при предоставлении и потреблении коммунальных услуг.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проблемами в повышении 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является высокий физический износ коммунальной инфраструктуры.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На территории города Югорска расположено 370  многоквартирных домов (далее-МКД) общей площадью жилых и не жилых помещений 783,70 тыс. кв. метров, в том числе  44 дома блокированной застройки  (Форма № 1 – жилфонд за 2016 год).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По проценту износа: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- от 0 до 30% - 173 МКД общей площадью 366,76 тыс. кв. м;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- от 31% до 65% - 90 МКД общей площадью 190,80 тыс. 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- от 66% до 70% - 96 МКД общей площадью 203,52 тыс. кв. м;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Свыше 70%  - 11 МКД общей площадью 23,32 тыс. кв. м.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Удельное потребление энергоресурсов в жилом секторе составляет (базовые показатели): 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тепловой энергии – 0,229 Гкал/кв. м в год, что ниже среднего значения по Ханты-Мансийскому автономному округу-Югре;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27,48 м3 воды на человека в сутки, что находится в пределах нормативов водопотребления;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электрической энергии – 902,89 кВт*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/чел в год, что ниже среднего по Ханты-Мансийскому автономному округу-Югре. 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На момент формирования программы основной объем услуг теплоснабжения и горячего водоснабжения городу предоставляло общество с ограниченной ответственностью «Югорскэнергогаз» (далее-ООО «Югорскэнергогаз»), на балансе которого было 30 городских котельных (КПД котлов в среднем 86%), протяженность сетей теплоснабжения – 110,8 км, в том числе ветхих 64,3км.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С 2014 года услуги теплоснабжения и горячего водоснабжения предоставляет муниципальное унитарное предприятие «Югорскэнергогаз»  (далее-МУП «Югорскэнергогаз»). В эксплуатации у МУП «Югорскэнергогаз» находится 27 котельных, 106,3 км тепловых сетей (в двухтрубном исчислении). По данным ежегодного мониторинга износ котельных составляет 71%, износ тепловых сетей – 51% (основание – отчетные формы мониторинга «Информация о состоянии котельных установок», «Информация о состоянии тепловых сетей»).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На момент формирования программы водоснабжение и услуги канализации в большей части осуществляло ООО «Югорскэнергогаз», в  эксплуатации которого в городе Югорске 38 скважин: 26 эксплуатационных, 12 наблюдательных. Протяженность водопроводных сетей – 262,4км, в том числе ветхих 191,5км.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С 2014 года услуги водоснабжения и канализации предоставляет МУП «Югорскэнергогаз». По состоянию на 01.01.2017:</w:t>
      </w:r>
    </w:p>
    <w:p w:rsidR="00811BE5" w:rsidRPr="00811BE5" w:rsidRDefault="00811BE5" w:rsidP="00811BE5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протяженность водопроводных сетей – 262,36 км, износ-55%;</w:t>
      </w:r>
    </w:p>
    <w:p w:rsidR="00811BE5" w:rsidRPr="00811BE5" w:rsidRDefault="00811BE5" w:rsidP="00811BE5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протяженность сетей водоотведения ─213,97 км, износ-55%.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BE5">
        <w:rPr>
          <w:rFonts w:ascii="Times New Roman" w:eastAsia="Times New Roman" w:hAnsi="Times New Roman" w:cs="Times New Roman"/>
          <w:sz w:val="24"/>
          <w:szCs w:val="24"/>
        </w:rPr>
        <w:tab/>
        <w:t xml:space="preserve">В 2012 году в ООО «Югорскэнергогаз» проведен энергетический аудит. По результатам  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энергоаудита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был сделан вывод, что системы находятся в удовлетворительном состоянии. 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Приэтом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предприятию даны рекомендации по повышению эффективности использования топливно-энергетических ресурсов, путем проведения энергосберегающих мероприятий.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Электроснабжение города Югорска осуществляет ОАО «Югорский филиал ЮТЭК», компания занимается передачей электрической энергии по сетям 0,4-6-10 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всем потребителям города.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Обслуживание сетей осуществляет Советский филиал АО «ЮРЭСК». Протяженность электрических сетей – 915,56км, в том числе ветхих 457,78км.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Основными потребителями электроэнергии в городе являются: торгово-промышленные предприятия; административные здания и жилая застройка.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энергосистема города Югорска находится в удовлетворительном состоянии. Особого внимания на сегодняшний день требуют инженерные сети. Ключевые базовые  показатели, характеризующие состояние энергосистемы города следующие: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потери в электрических сетях составляют 11,17 %;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удельный расход топлива при производстве тепловой энергии составляет 164,05кг 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у.т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>./Гкал, что несколько выше требуемого уровня;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утечка и неучтенный расход воды в системе водоснабжения составил 48,27%;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удельный расход электрической энергии на подъем и перекачку воды составил 0,85 кВт*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811BE5">
        <w:rPr>
          <w:rFonts w:ascii="Times New Roman" w:eastAsia="Times New Roman" w:hAnsi="Times New Roman" w:cs="Times New Roman"/>
          <w:sz w:val="24"/>
          <w:szCs w:val="24"/>
        </w:rPr>
        <w:t>/куб. м.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BE5"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Согласно требованиям Федерального закона от 23.11.2009 № 261-ФЗ «Об энергосбережении 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начиная с 1 января 2010 года бюджетные учреждения обязаны обеспечить снижение в сопоставимых условиях объема потребленных ими энергетических ресурсов, в течение пяти лет не менее чем на пятнадцать процентов от фактически потребленного ими в 2009 году каждого из энергетических ресурсов с ежегодным снижением такого объема не менее чем на три процента. С целью выявления потенциала энергосбережения в 2010-2011 годах проведены энергетические обследования всех муниципальных учреждений города, а так же 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энергоаудит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зданий органов местного самоуправления. С учетом рекомендаций учреждениями разработаны программы энергосбережения и повышения энергетической эффективности, которые начали частично реализовываться в 2011 году.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Удельное потребление энергоресурсов в бюджетной сфере составляет (базовые показатели): 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тепловой энергии - 0,16 Гкал/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>. в год, что существенно ниже среднего удельного теплопотребления объектами бюджетной сферы Ханты-Мансийского автономного округа-Югры;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электрической энергии - 39,5 кВт*час/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>. в год, что существенно ниже среднего удельного электропотребления объектами бюджетной сферы Ханты-Мансийского автономного округа-Югры;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горячей и холодной воды -0,92 м3 и 2,65 м3 в год на 1 человека населения.</w:t>
      </w:r>
    </w:p>
    <w:p w:rsidR="00811BE5" w:rsidRPr="00811BE5" w:rsidRDefault="002A7C8F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вопроса повышения </w:t>
      </w:r>
      <w:proofErr w:type="spellStart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 xml:space="preserve"> города Югорска возможно применение комплексного подхода, позволяющего охватить процессом энергосбережения все сферы экономики, объединив усилия органов местного самоуправления, предприятий, организаций и населения, с привлечением средств внебюджетных источников, что требует использования программно-целевого метода.</w:t>
      </w:r>
    </w:p>
    <w:p w:rsidR="00811BE5" w:rsidRPr="00811BE5" w:rsidRDefault="002A7C8F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направлена на активизацию практических действий в сфере энергосбережения с целью повышения уровня </w:t>
      </w:r>
      <w:proofErr w:type="spellStart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 xml:space="preserve"> города и реализации мер государственной политики энергосбережения </w:t>
      </w:r>
      <w:proofErr w:type="gramStart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Югре. </w:t>
      </w:r>
    </w:p>
    <w:p w:rsidR="00376B55" w:rsidRPr="003767DC" w:rsidRDefault="00376B55" w:rsidP="00811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2878F3" w:rsidRDefault="003767DC" w:rsidP="002878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F3">
        <w:rPr>
          <w:rFonts w:ascii="Times New Roman" w:hAnsi="Times New Roman" w:cs="Times New Roman"/>
          <w:b/>
          <w:sz w:val="24"/>
          <w:szCs w:val="24"/>
        </w:rPr>
        <w:t>Раздел 2. Цели,  задачи и показатели  их достижения</w:t>
      </w:r>
    </w:p>
    <w:bookmarkEnd w:id="1"/>
    <w:bookmarkEnd w:id="2"/>
    <w:bookmarkEnd w:id="3"/>
    <w:bookmarkEnd w:id="4"/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B31C3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25D21">
        <w:rPr>
          <w:rFonts w:ascii="Times New Roman" w:hAnsi="Times New Roman" w:cs="Times New Roman"/>
          <w:sz w:val="24"/>
          <w:szCs w:val="24"/>
        </w:rPr>
        <w:t>п</w:t>
      </w:r>
      <w:r w:rsidRPr="003767DC">
        <w:rPr>
          <w:rFonts w:ascii="Times New Roman" w:hAnsi="Times New Roman" w:cs="Times New Roman"/>
          <w:sz w:val="24"/>
          <w:szCs w:val="24"/>
        </w:rPr>
        <w:t>рограммы является повышение эффективности использования топливно-энергетических ресурсов в городе Югорске.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Достижение цели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будет обеспечено путем решения следующих задач</w:t>
      </w:r>
      <w:r w:rsidRPr="003767DC">
        <w:rPr>
          <w:rFonts w:ascii="Times New Roman" w:hAnsi="Times New Roman" w:cs="Times New Roman"/>
          <w:sz w:val="24"/>
          <w:szCs w:val="24"/>
        </w:rPr>
        <w:t>:</w:t>
      </w:r>
    </w:p>
    <w:p w:rsidR="003767DC" w:rsidRPr="003767DC" w:rsidRDefault="002878F3" w:rsidP="002878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767DC" w:rsidRPr="003767DC">
        <w:rPr>
          <w:rFonts w:ascii="Times New Roman" w:hAnsi="Times New Roman" w:cs="Times New Roman"/>
          <w:sz w:val="24"/>
          <w:szCs w:val="24"/>
        </w:rPr>
        <w:t>Таблица 1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3767DC" w:rsidRPr="003767DC" w:rsidTr="002878F3">
        <w:tc>
          <w:tcPr>
            <w:tcW w:w="4785" w:type="dxa"/>
          </w:tcPr>
          <w:p w:rsidR="003767DC" w:rsidRPr="003767DC" w:rsidRDefault="003767DC" w:rsidP="00287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5246" w:type="dxa"/>
          </w:tcPr>
          <w:p w:rsidR="003767DC" w:rsidRPr="003767DC" w:rsidRDefault="003767DC" w:rsidP="00B31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Обоснование поставленной задачи на предмет соответствия заявленной цели</w:t>
            </w:r>
          </w:p>
        </w:tc>
      </w:tr>
      <w:tr w:rsidR="003767DC" w:rsidRPr="003767DC" w:rsidTr="00616448">
        <w:trPr>
          <w:trHeight w:val="834"/>
        </w:trPr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1. Развитие энергосбережения и повышение энергетической эффективности в муниципальном секторе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Создание условий, обеспечивающих максимально эффективное использование потенциала энергетического сектора и </w:t>
            </w:r>
            <w:proofErr w:type="gramStart"/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топливо-энергетических</w:t>
            </w:r>
            <w:proofErr w:type="gramEnd"/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ресурсов при едином подходе к снижению удельных показателей энергопотребления, для перехода на более высокий уровень в сфере энергосбережения и повышения качества жизни населения города</w:t>
            </w:r>
            <w:r w:rsidR="00125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Югорска</w:t>
            </w:r>
          </w:p>
        </w:tc>
      </w:tr>
      <w:tr w:rsidR="003767DC" w:rsidRPr="003767DC" w:rsidTr="002878F3"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2. Развитие энергосбережения и повышение энергетической эффективности в жилищном фонде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878F3"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энергосбережения и повышение 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системах коммунальной инфраструктуры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878F3">
        <w:trPr>
          <w:trHeight w:val="870"/>
        </w:trPr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энергосбережения и повышение энергетической эффективности в транспортном комплексе 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7DC" w:rsidRPr="002878F3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Достижение целей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рограммы определяется целевыми значениями показателей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рограммы, перечень которых представлен в таблице  3.</w:t>
      </w:r>
    </w:p>
    <w:p w:rsid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Состав целевых показателей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рограммы определен, исходя из принципа необходимости и достаточности информации для характеристики достижения цели и решения задач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рограммы, а так же соответствует требованиям постановления Правительства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F14E32" w:rsidRDefault="00F14E32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14E32" w:rsidRPr="003767DC" w:rsidRDefault="00F14E32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5" w:name="_GoBack"/>
      <w:bookmarkEnd w:id="5"/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Целевые показатели в муниципальном секторе: 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на снабжение органов местного самоуправления и муниципальных учреждений (в расчете на 1 человека)</w:t>
      </w:r>
    </w:p>
    <w:p w:rsidR="003767DC" w:rsidRPr="003767DC" w:rsidRDefault="003767DC" w:rsidP="002878F3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рассчитываются по результатам проведения мониторинга потребления энергетических ресурсов и воды, фактически занимаемой площади, фактического количества работников (потребителей) муниципальных учреждений и органов местного  самоуправления (определяется как отношение соответствующего потребленного энергетического ресурса, воды к фактически занимаемой площади, либо к фактическому количеству работников учреждени</w:t>
      </w: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я(</w:t>
      </w:r>
      <w:proofErr w:type="gram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потребителей)).   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Целевой показатель «Отношение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энергосервисных</w:t>
      </w:r>
      <w:proofErr w:type="spell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программы» рассчитывается по результатам исполнения </w:t>
      </w:r>
      <w:proofErr w:type="spell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энергосервисного</w:t>
      </w:r>
      <w:proofErr w:type="spell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контракта.  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Целевой показатель «Количество </w:t>
      </w:r>
      <w:proofErr w:type="spell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энергосервисных</w:t>
      </w:r>
      <w:proofErr w:type="spell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договоров (контрактов), заключенных органами местного самоуправления и муниципальными учреждениями»</w:t>
      </w:r>
      <w:r w:rsidR="00B815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рассчитывается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 результатам мониторинга заключения </w:t>
      </w:r>
      <w:proofErr w:type="spell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энергосервисных</w:t>
      </w:r>
      <w:proofErr w:type="spell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контрактов муниципальными учреждениями, органами местного самоуправления.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Целевые показатели в жилищном фонде: 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в многоквартирных домах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тепловой энергии в многоквартирных домах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холодной воды в многоквартирных домах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горячей воды в многоквартирных домах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в многоквартирных домах с индивидуальными системами газового отопления  (в расчете на 1 кв.</w:t>
      </w:r>
      <w:r w:rsidR="00B815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суммарный расход энергетических ресурсов в многоквартирных домах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рассчитываются по результатам проведения мониторинга потребления энергетических ресурсов и воды, фактически занимаемой площади, фактического количества человек (жителей) используемых данный ресурс многоквартирными домами города (определяется как отношение соответствующего потребленного энергетического ресурса, воды к фактически занимаемой площади, либо к фактическому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количеству человек (жителей)).</w:t>
      </w:r>
    </w:p>
    <w:p w:rsidR="003767DC" w:rsidRPr="002878F3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Целевой показатель «Количество выступлений в </w:t>
      </w:r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средствах массовой информации (дале</w:t>
      </w:r>
      <w:proofErr w:type="gramStart"/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>е-</w:t>
      </w:r>
      <w:proofErr w:type="gramEnd"/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>СМИ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>, посвященных информированию и пропаганде среди населения города Югорска энергосбережения и повышения энергетической эффективности»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определяется  </w:t>
      </w:r>
      <w:r w:rsidRPr="003767DC">
        <w:rPr>
          <w:rFonts w:ascii="Times New Roman" w:hAnsi="Times New Roman" w:cs="Times New Roman"/>
          <w:sz w:val="24"/>
          <w:szCs w:val="24"/>
        </w:rPr>
        <w:t>по данным административного учета.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Целевые показатели  в системах коммунальной инфраструктуры: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удельный расход топлива на выработку тепловой энергии на тепловых электростанциях; 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топлива на выработку тепловой энергии на котельных;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доля потерь тепловой энергии при ее передаче в общем объеме переданной тепловой энергии;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доля потерь воды при ее передаче в общем объеме переданной воды;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удельный расход электрической энергии, используемой в системах водоотведения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(на 1 куб. метр);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определяются путем мониторинга данных предприятий города о фактическом потреблении, выработке, потреблении энергетических ресурсов, так же с использование статистических отчетов 1-водопровод «Сведения о работе водопровода (отдельной водопроводной сети)», 1-тепло «Сведения о снабжении </w:t>
      </w:r>
      <w:proofErr w:type="spell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теплоэнергией</w:t>
      </w:r>
      <w:proofErr w:type="spell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», утвержденных Приказом Росстата от 20.08.2008 № 200 и формой </w:t>
      </w:r>
      <w:r w:rsidRPr="003767DC">
        <w:rPr>
          <w:rFonts w:ascii="Times New Roman" w:eastAsia="Times New Roman" w:hAnsi="Times New Roman" w:cs="Times New Roman"/>
          <w:sz w:val="24"/>
          <w:szCs w:val="24"/>
        </w:rPr>
        <w:t>№1-КХ «Сведения о благоустройстве городских населенных пунктов за 20_ год», утвержденной Приказом Росстата от 03.08.2011 № 343.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proofErr w:type="gramEnd"/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Целевые показатели в транспортном комплексе: 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электрической энергией;</w:t>
      </w:r>
      <w:proofErr w:type="gramEnd"/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е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возке на которых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  <w:proofErr w:type="gramEnd"/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определяются путем проведения мониторинга используемых транспортных средств органами местного самоуправления, муниципальными учреждениями и муниципальными унитарными предприятиями.</w:t>
      </w:r>
    </w:p>
    <w:p w:rsidR="002241DD" w:rsidRPr="004A1664" w:rsidRDefault="003767DC" w:rsidP="004A1664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2241DD" w:rsidRPr="004A1664" w:rsidSect="002877B2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Реализация мероприятий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будет способствовать сокращению удельного потребления топливно-энергетических ресурсов в организациях муниципального сектора и реального сектора экономики, а так же достижению общих целевых показателей  в области энергосбережения и повышения энергетической эффективности</w:t>
      </w:r>
      <w:r w:rsidR="0058332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</w:t>
      </w:r>
      <w:r w:rsidR="00B31C35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583328">
        <w:rPr>
          <w:rFonts w:ascii="Times New Roman" w:eastAsia="Batang" w:hAnsi="Times New Roman" w:cs="Times New Roman"/>
          <w:sz w:val="24"/>
          <w:szCs w:val="24"/>
          <w:lang w:eastAsia="ko-KR"/>
        </w:rPr>
        <w:t>аблица 2)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tbl>
      <w:tblPr>
        <w:tblpPr w:leftFromText="180" w:rightFromText="180" w:vertAnchor="text" w:horzAnchor="margin" w:tblpY="-6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407"/>
        <w:gridCol w:w="1275"/>
        <w:gridCol w:w="1417"/>
        <w:gridCol w:w="697"/>
        <w:gridCol w:w="709"/>
        <w:gridCol w:w="709"/>
        <w:gridCol w:w="709"/>
        <w:gridCol w:w="850"/>
        <w:gridCol w:w="709"/>
        <w:gridCol w:w="709"/>
        <w:gridCol w:w="2126"/>
      </w:tblGrid>
      <w:tr w:rsidR="0085224B" w:rsidRPr="0085224B" w:rsidTr="0085224B">
        <w:trPr>
          <w:trHeight w:val="420"/>
        </w:trPr>
        <w:tc>
          <w:tcPr>
            <w:tcW w:w="1513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1D35" w:rsidRDefault="0085224B" w:rsidP="00101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   </w:t>
            </w:r>
            <w:r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4A1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     </w:t>
            </w:r>
            <w:r w:rsidR="0010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Таблица 2</w:t>
            </w:r>
          </w:p>
          <w:p w:rsidR="0085224B" w:rsidRPr="0085224B" w:rsidRDefault="00101D35" w:rsidP="00101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Перечень ц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елевы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показател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ей 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 области энергосбережения и повышен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ия энергетической эффективности</w:t>
            </w:r>
          </w:p>
        </w:tc>
      </w:tr>
      <w:tr w:rsidR="0085224B" w:rsidRPr="0085224B" w:rsidTr="00101D35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10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 w:rsidR="00391F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01D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целевого показателя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целевых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результатов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целевого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85224B" w:rsidRPr="0085224B" w:rsidTr="00101D35">
        <w:trPr>
          <w:trHeight w:val="5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</w:rPr>
            </w:pPr>
          </w:p>
        </w:tc>
      </w:tr>
      <w:tr w:rsidR="0085224B" w:rsidRPr="0085224B" w:rsidTr="00101D35">
        <w:trPr>
          <w:trHeight w:val="13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5224B" w:rsidRPr="0085224B" w:rsidTr="00101D35">
        <w:trPr>
          <w:trHeight w:val="1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0C40C7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85224B" w:rsidRPr="0085224B" w:rsidTr="00101D35">
        <w:trPr>
          <w:trHeight w:val="98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224B" w:rsidRPr="0085224B" w:rsidTr="00101D35">
        <w:trPr>
          <w:trHeight w:val="10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561CCA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561CCA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85224B" w:rsidRPr="0085224B" w:rsidTr="00101D35">
        <w:trPr>
          <w:trHeight w:val="12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7460EE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7460EE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7460EE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746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746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224B" w:rsidRPr="0085224B" w:rsidTr="00101D35">
        <w:trPr>
          <w:trHeight w:val="4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C7103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общем объеме энергетических ресурсов, производимых на территории муниципального образования</w:t>
            </w:r>
            <w:proofErr w:type="gramStart"/>
            <w:r w:rsidRPr="00EC7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224B" w:rsidRPr="0085224B" w:rsidTr="0085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134" w:type="dxa"/>
            <w:gridSpan w:val="12"/>
            <w:tcBorders>
              <w:left w:val="nil"/>
              <w:bottom w:val="nil"/>
              <w:right w:val="nil"/>
            </w:tcBorders>
          </w:tcPr>
          <w:p w:rsidR="0085224B" w:rsidRPr="0085224B" w:rsidRDefault="0085224B" w:rsidP="00101D35">
            <w:pPr>
              <w:pStyle w:val="21"/>
              <w:ind w:left="-567"/>
              <w:jc w:val="both"/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</w:pPr>
            <w:r w:rsidRPr="0085224B"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85224B"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  <w:t>гра</w:t>
            </w:r>
            <w:proofErr w:type="spellEnd"/>
          </w:p>
        </w:tc>
      </w:tr>
    </w:tbl>
    <w:p w:rsidR="00EC7103" w:rsidRPr="00EC7103" w:rsidRDefault="00EC7103" w:rsidP="00EC7103">
      <w:pPr>
        <w:rPr>
          <w:rFonts w:ascii="Times New Roman" w:hAnsi="Times New Roman" w:cs="Times New Roman"/>
          <w:sz w:val="20"/>
          <w:szCs w:val="20"/>
        </w:rPr>
        <w:sectPr w:rsidR="00EC7103" w:rsidRPr="00EC7103" w:rsidSect="002241D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34717" w:rsidRPr="00A34717" w:rsidRDefault="00A34717" w:rsidP="00A347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Характеристика основных мероприятий </w:t>
      </w:r>
      <w:r w:rsidR="00B31C3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3471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Реализация поставленных целей и решение задач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планируется через проведение комплекса технических, организационно-управленческих и научно-исследовательских мероприятий.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рамках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предполагается реализация мероприятий, направленных на уменьшение потребления энергетических ресурсов в различных отраслях экономики, муниципальном секторе и жилищно-коммунальном комплексе города Югорска.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Описание мероприятий: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1 «Развитие энергосбережения и повышение энергетической эффективности в муниципальном секторе» предполагает реализацию мероприятия «Внедрение энергосберегающих технологий в муниципальной сфере»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В </w:t>
      </w:r>
      <w:proofErr w:type="gramStart"/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рамках</w:t>
      </w:r>
      <w:proofErr w:type="gramEnd"/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данного мероприятия планируется: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проведение повторных обязательных энергетических обследований муниципальных учреждений; 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повышение </w:t>
      </w:r>
      <w:proofErr w:type="spell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энергоэффективности</w:t>
      </w:r>
      <w:proofErr w:type="spell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систем освещения (замена ламп накаливания на энергосберегающие, замена светильников на энергосберегающие, установка автоматизированных систем управления освещением);</w:t>
      </w:r>
      <w:proofErr w:type="gramEnd"/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модернизация и реконструкция сетей водоснабжения, канализации, теплоснабжения и электроснабжения;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установка (замена) автоматизированных узлов регулирования тепловой энергии с установкой частотного регулирования приводов насосов;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обучение, участие в мероприятиях по энергосбережению ответственных в области энергосбережения.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2 «Развитие энергосбережения и повышение энергетической эффективности в жилищном фонде» предполагает реализацию двух мероприятий, направленных на э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кономию энергетических ресурсов:</w:t>
      </w:r>
    </w:p>
    <w:p w:rsidR="00A34717" w:rsidRPr="00A34717" w:rsidRDefault="00976673" w:rsidP="00976673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мероприятие 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«Внедрение энергосберегающих техн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ологий в многоквартирных домах» 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включает: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систем отопления и горячего водоснабжения в многоквартирных домах, в том числе установка систем погодного регулирования, установка балансировочных клапанов;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систем электроснабжения в многоквартирных домах, в том числе замена ламп накаливания на энергосберегающие, установка датчиков движения в подъездах;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ограждающих конструкций в многоквартирных домах, в том числе восстановление герметизации межпанельных швов, уплотнение и замена входных дверей;</w:t>
      </w:r>
    </w:p>
    <w:p w:rsidR="00A34717" w:rsidRPr="00A34717" w:rsidRDefault="00B66CBC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установку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поквартирных и общедомовых узло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в учета в многоквартирных домах;</w:t>
      </w:r>
    </w:p>
    <w:p w:rsidR="00A34717" w:rsidRPr="00A34717" w:rsidRDefault="00976673" w:rsidP="00976673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proofErr w:type="gramStart"/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мероприятие 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«Информационная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Югорск»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включает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, в том числе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разработку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предоставление предприятиями к сведению собственников помещений в м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ногоквартирных домах предложений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мероприятиях по энергосбережению и повышению энергетической  эффективности, которые можно проводить в многоквартирных домах, с указанием расходов на их проведение, объема ожидаемого снижения используемых энергетических ресурсов</w:t>
      </w:r>
      <w:proofErr w:type="gramEnd"/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сроков окупаемости предполагаемых мероприятий.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Задача 3 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Развитие энергосбережения и повышение </w:t>
      </w:r>
      <w:proofErr w:type="spell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энергоэффективности</w:t>
      </w:r>
      <w:proofErr w:type="spell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систе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мах коммунальной инфраструктуры»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предполагает реализацию предприятиями, осуществляющими производство и транспортировку тепловой и электрической энергии и воды, водоотведения  мероприятия «Внедрение энергосберегающих мероприятий в системах тепл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о-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, водо-, электроснабжения»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, которое в себя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включает:</w:t>
      </w:r>
    </w:p>
    <w:p w:rsidR="00A34717" w:rsidRPr="00A34717" w:rsidRDefault="00A34717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выявление бесхозяйных объектов недвижимого имущества, используемых для передачи электрической и тепловой энергии, воды, для 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A34717" w:rsidRPr="00A34717" w:rsidRDefault="00A34717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ю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A34717" w:rsidRPr="00A34717" w:rsidRDefault="00A34717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проведение предприятиями повторных обязательных энергетических обследований предприятий, осуществляющих производство, передачу и распределение энергетических ресурсов;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реконструкцию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сетей </w:t>
      </w:r>
      <w:proofErr w:type="gramStart"/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тепло-водоснабжения</w:t>
      </w:r>
      <w:proofErr w:type="gramEnd"/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модернизацию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котельных города, в том числе установка новых </w:t>
      </w:r>
      <w:proofErr w:type="spellStart"/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блочно</w:t>
      </w:r>
      <w:proofErr w:type="spellEnd"/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-модульных взамен старых;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актуализацию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схемы теплоснабжения города;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разработку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схем теплоснабжения, водоснабжения и водоотведения города;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актуализацию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схем водоснабжения и водоотведения города;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реконструкцию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системы электроснабжения;</w:t>
      </w:r>
    </w:p>
    <w:p w:rsidR="00A34717" w:rsidRPr="00A34717" w:rsidRDefault="00B66CBC" w:rsidP="00A34717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модернизацию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уличного освещения с применени</w:t>
      </w:r>
      <w:r w:rsidR="00A34717">
        <w:rPr>
          <w:rFonts w:ascii="Times New Roman" w:eastAsia="Batang" w:hAnsi="Times New Roman" w:cs="Times New Roman"/>
          <w:sz w:val="24"/>
          <w:szCs w:val="24"/>
          <w:lang w:eastAsia="ko-KR"/>
        </w:rPr>
        <w:t>ем энергосберегающих технологий.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4 «Развитие энергосбережения и повышение энергетической эффективности в транспортном комплексе» предполагает реализацию предприятиями, осуществляющими пассажирские перевозки  мероприятия «Перевод городского пассажирского транспорта, осуществляющего перевозки по муниципальным маршрутам, на газомоторное топливо».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Мероприятия муниципальной 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приведены в таблице 4.</w:t>
      </w:r>
      <w:bookmarkStart w:id="6" w:name="_Toc290551849"/>
      <w:bookmarkStart w:id="7" w:name="_Toc291600118"/>
      <w:bookmarkStart w:id="8" w:name="_Toc291837831"/>
      <w:bookmarkStart w:id="9" w:name="_Toc314052710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A34717" w:rsidRPr="00A34717" w:rsidRDefault="00A34717" w:rsidP="00A34717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34717" w:rsidRPr="00A34717" w:rsidRDefault="00A34717" w:rsidP="00A34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17">
        <w:rPr>
          <w:rFonts w:ascii="Times New Roman" w:hAnsi="Times New Roman" w:cs="Times New Roman"/>
          <w:b/>
          <w:sz w:val="24"/>
          <w:szCs w:val="24"/>
        </w:rPr>
        <w:t>Раздел 4. Механизм реализации муниципальной программы</w:t>
      </w:r>
    </w:p>
    <w:p w:rsidR="00A34717" w:rsidRPr="00A34717" w:rsidRDefault="00A34717" w:rsidP="00A34717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bookmarkEnd w:id="6"/>
    <w:bookmarkEnd w:id="7"/>
    <w:bookmarkEnd w:id="8"/>
    <w:bookmarkEnd w:id="9"/>
    <w:p w:rsidR="00A34717" w:rsidRPr="00A34717" w:rsidRDefault="00A34717" w:rsidP="00A34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         Механизм реализации муниципальной </w:t>
      </w:r>
      <w:r w:rsidR="00AB2823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>рограммы основан на взаимодействии органов исполнительной власти Ханты-Мансийского автономного округа – Югры, структурных подразделений администрации города Югорска, муниципальных учреждений и хозяйствующих субъектов, путем заключения соглашений.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Основным исполнителем муниципальной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 является: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Департамент жилищно – коммунального и строительного комплекса администрации города Югорска, который: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вносит предложения об изменении объемов финансовых средств, направляемых на решение отдельных задач муниципальной </w:t>
      </w:r>
      <w:r w:rsidR="00AB2823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>рограммы;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ежегодно, после утверждения бюджета города, вносит корректировку в муниципальную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рограмму, в пределах бюджетных ассигнований на очередной финансовый год;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</w:t>
      </w:r>
      <w:r w:rsidR="00AB2823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 из иных кроме бюджета города источников; 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оказывает помощь собственникам жилых помещений многоквартирных домов в виде консультации по вопросам реализации мероприятий муниципальной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представителями средств массовой информации информирует население города о реализации законодательства в области </w:t>
      </w:r>
      <w:proofErr w:type="spellStart"/>
      <w:r w:rsidRPr="00A34717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-ресурсосбережения, реализации мероприятий муниципальной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рограммы. Обеспечивает пропаганду экономного потребления топливно-энергетических ресурсов, применения энергосберегающей бытовой техники и приборов;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соисполнителями обеспечивает разработку нормативно-правовых актов, направленных на создание механизма стимулирования организаций и муниципальных 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учреждений по экономии топливно-энергетических ресурсов и реализации мероприятий, направленных на повышение </w:t>
      </w:r>
      <w:proofErr w:type="spellStart"/>
      <w:r w:rsidRPr="00A34717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347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соисполнителями </w:t>
      </w:r>
      <w:r w:rsidRPr="00A34717">
        <w:rPr>
          <w:rFonts w:ascii="Times New Roman" w:hAnsi="Times New Roman" w:cs="Times New Roman"/>
          <w:sz w:val="24"/>
          <w:szCs w:val="24"/>
        </w:rPr>
        <w:t xml:space="preserve">обеспечивает качественную и своевременную подготовку отчетной и иной информации по исполнению муниципальной </w:t>
      </w:r>
      <w:r w:rsidR="00DD489B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Соисполнитель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 Управление образования администрации города Югорска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предоставляет субсидии муниципальным учреждениям на заключение контрактов на выполнение работ в соответствии с действующим законодательством;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347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 ходом и качеством выполнения работ, целевым и эффективным использованием денежных средств; 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обеспечивает учет и контроль потребляемых энергоресурсов;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4717">
        <w:rPr>
          <w:rFonts w:ascii="Times New Roman" w:eastAsia="Times New Roman" w:hAnsi="Times New Roman" w:cs="Times New Roman"/>
          <w:sz w:val="24"/>
          <w:szCs w:val="24"/>
        </w:rPr>
        <w:t>разрабатывает и предоставляет</w:t>
      </w:r>
      <w:proofErr w:type="gramEnd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 исполнителю план мероприятий для рассмотрения и  включения мероприятий в муниципальную 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рограмму;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достижение целевых показателей муниципальной </w:t>
      </w:r>
      <w:r w:rsidR="00DD489B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рограммы;  </w:t>
      </w:r>
    </w:p>
    <w:p w:rsid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предоставляет исполнителю информацию о реализации программных мероприятий.</w:t>
      </w:r>
    </w:p>
    <w:p w:rsidR="00A34717" w:rsidRPr="00A34717" w:rsidRDefault="00A34717" w:rsidP="00A3471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717" w:rsidRPr="00A34717" w:rsidRDefault="00A34717" w:rsidP="00A347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266654642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рограммы:</w:t>
      </w:r>
    </w:p>
    <w:p w:rsidR="00A34717" w:rsidRPr="00A34717" w:rsidRDefault="00A34717" w:rsidP="00A34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        Мероприятия муниципальной </w:t>
      </w:r>
      <w:r w:rsidR="00DD489B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рограммы, которые предусматривают софинансирование из бюджета субъекта финансируются, согласно Порядков реализации таких мероприятий, разработанных в рамках Государственной программы 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«Развитие жилищно-коммунального комплекса и повышение энергетической эффективности 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в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Ханты-Мансийском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автономном округе – Югре на 2014 – 2020 годы»</w:t>
      </w:r>
      <w:r w:rsidRPr="00A347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 и объемы их финансирования могут быть ежегодно откорректированы с учетом возможностей бюджетов всех уровней.</w:t>
      </w:r>
    </w:p>
    <w:p w:rsidR="00A34717" w:rsidRPr="00D62A35" w:rsidRDefault="00A34717" w:rsidP="00A34717">
      <w:pPr>
        <w:pStyle w:val="a3"/>
        <w:ind w:firstLine="708"/>
        <w:jc w:val="both"/>
        <w:rPr>
          <w:rFonts w:eastAsia="Times New Roman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Внебюджетные источники финансирования программных мероприятий предусматривают средства предприятий и организаций всех форм собственности, средства компаний, осуществляющих функции по управлению жилищным фондом, средства собственников жилых помещений</w:t>
      </w:r>
      <w:r w:rsidRPr="00D62A35">
        <w:rPr>
          <w:rFonts w:eastAsia="Times New Roman"/>
        </w:rPr>
        <w:t>.</w:t>
      </w:r>
    </w:p>
    <w:bookmarkEnd w:id="10"/>
    <w:p w:rsidR="002877B2" w:rsidRPr="0085224B" w:rsidRDefault="002877B2" w:rsidP="00D41212">
      <w:pPr>
        <w:pStyle w:val="a3"/>
        <w:jc w:val="right"/>
        <w:rPr>
          <w:rFonts w:ascii="Times New Roman" w:hAnsi="Times New Roman" w:cs="Times New Roman"/>
          <w:sz w:val="20"/>
          <w:szCs w:val="20"/>
        </w:rPr>
        <w:sectPr w:rsidR="002877B2" w:rsidRPr="0085224B" w:rsidSect="00A3471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5351" w:type="dxa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4536"/>
        <w:gridCol w:w="1134"/>
        <w:gridCol w:w="1501"/>
        <w:gridCol w:w="795"/>
        <w:gridCol w:w="795"/>
        <w:gridCol w:w="815"/>
        <w:gridCol w:w="795"/>
        <w:gridCol w:w="802"/>
        <w:gridCol w:w="791"/>
        <w:gridCol w:w="781"/>
        <w:gridCol w:w="1790"/>
      </w:tblGrid>
      <w:tr w:rsidR="00C6442E" w:rsidTr="00C6442E">
        <w:trPr>
          <w:trHeight w:val="660"/>
          <w:jc w:val="center"/>
        </w:trPr>
        <w:tc>
          <w:tcPr>
            <w:tcW w:w="15351" w:type="dxa"/>
            <w:gridSpan w:val="12"/>
            <w:tcBorders>
              <w:bottom w:val="single" w:sz="4" w:space="0" w:color="auto"/>
            </w:tcBorders>
          </w:tcPr>
          <w:p w:rsidR="00C6442E" w:rsidRDefault="00C6442E" w:rsidP="00C6442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42E" w:rsidRDefault="00C6442E" w:rsidP="00C6442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42E" w:rsidRDefault="00C6442E" w:rsidP="00C6442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42E" w:rsidRPr="00E00C4A" w:rsidRDefault="00C6442E" w:rsidP="00C6442E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C4A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3</w:t>
            </w:r>
          </w:p>
          <w:p w:rsidR="00C6442E" w:rsidRDefault="00C6442E" w:rsidP="00C64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целевых показателей муниципальной программы </w:t>
            </w:r>
          </w:p>
          <w:p w:rsidR="00C6442E" w:rsidRPr="00E00C4A" w:rsidRDefault="00C6442E" w:rsidP="00C64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0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орода Югорска на 2014-2020 годы»</w:t>
            </w:r>
          </w:p>
          <w:p w:rsidR="00C6442E" w:rsidRDefault="00C6442E" w:rsidP="00C64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442E" w:rsidRDefault="00C6442E" w:rsidP="00C6442E">
            <w:pPr>
              <w:pStyle w:val="a3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671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№целевого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целевых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*Базовый показатель на начало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целевого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 по годам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программы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069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2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1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1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1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38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5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20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1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1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7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1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Количество выступлений в СМИ, посвященных информированию и пропаганде среди населения города Югорска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14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тыскуб.м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2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7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A2E6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A2E6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3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7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5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212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3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292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                            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57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7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27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2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101D35" w:rsidRDefault="00101D35" w:rsidP="00101D35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01D35" w:rsidRPr="00583328" w:rsidRDefault="00101D35" w:rsidP="00F14E3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*В графе  «Базовый показатель на начало реализации </w:t>
      </w:r>
      <w:r w:rsidR="00B31C3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муниципальной </w:t>
      </w: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программы» отражаются значения показателя на год, предшествующий разработке </w:t>
      </w:r>
      <w:r w:rsidR="00B31C35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муниципальной п</w:t>
      </w: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>рограммы (целевые показатели за 2013 год).</w:t>
      </w:r>
    </w:p>
    <w:p w:rsidR="00101D35" w:rsidRDefault="00101D35" w:rsidP="00F14E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1D35" w:rsidRDefault="00101D35" w:rsidP="00101D35">
      <w:pPr>
        <w:rPr>
          <w:rFonts w:ascii="Times New Roman" w:hAnsi="Times New Roman" w:cs="Times New Roman"/>
          <w:sz w:val="20"/>
          <w:szCs w:val="20"/>
        </w:rPr>
      </w:pPr>
    </w:p>
    <w:p w:rsidR="00F06435" w:rsidRDefault="00F06435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6442E" w:rsidRDefault="00C6442E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6442E" w:rsidRDefault="00C6442E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6442E" w:rsidRDefault="00C6442E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6442E" w:rsidRDefault="00C6442E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6442E" w:rsidRDefault="00C6442E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6442E" w:rsidRDefault="00C6442E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6442E" w:rsidRDefault="00C6442E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15D2" w:rsidRDefault="00F415D2" w:rsidP="00101D35">
      <w:pPr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72602D" w:rsidRDefault="0072602D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9"/>
        <w:gridCol w:w="616"/>
        <w:gridCol w:w="3397"/>
        <w:gridCol w:w="2122"/>
        <w:gridCol w:w="1738"/>
        <w:gridCol w:w="1016"/>
        <w:gridCol w:w="916"/>
        <w:gridCol w:w="816"/>
        <w:gridCol w:w="816"/>
        <w:gridCol w:w="916"/>
        <w:gridCol w:w="816"/>
        <w:gridCol w:w="816"/>
        <w:gridCol w:w="816"/>
      </w:tblGrid>
      <w:tr w:rsidR="00C6442E" w:rsidRPr="00C6442E" w:rsidTr="00C6442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442E" w:rsidRPr="00C6442E" w:rsidRDefault="00C6442E" w:rsidP="00C6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4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442E" w:rsidRPr="00C6442E" w:rsidTr="00C6442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</w:tr>
      <w:tr w:rsidR="00C6442E" w:rsidRPr="00C6442E" w:rsidTr="00C6442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«Энергосбережение  и повышение энергетической эффективности города Югорска на 2014-2020 годы»</w:t>
            </w:r>
          </w:p>
        </w:tc>
      </w:tr>
      <w:tr w:rsidR="00C6442E" w:rsidRPr="00C6442E" w:rsidTr="00C6442E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C6442E" w:rsidRPr="00C6442E" w:rsidTr="00C6442E">
        <w:trPr>
          <w:trHeight w:val="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</w:tr>
      <w:tr w:rsidR="00C6442E" w:rsidRPr="00C6442E" w:rsidTr="00C6442E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Повышение эффективности использования топливно-энергетических ресурсов в городе Югорске</w:t>
            </w:r>
          </w:p>
        </w:tc>
      </w:tr>
      <w:tr w:rsidR="00C6442E" w:rsidRPr="00C6442E" w:rsidTr="00C6442E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1. Развитие энергосбережения и повышение </w:t>
            </w:r>
            <w:proofErr w:type="spell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секторе</w:t>
            </w:r>
          </w:p>
        </w:tc>
      </w:tr>
      <w:tr w:rsidR="00C6442E" w:rsidRPr="00C6442E" w:rsidTr="00C6442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энергосберегающих технологий в муниципальной сфере (1;2;3;4;5;6;7)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6442E" w:rsidRPr="00C6442E" w:rsidTr="00C6442E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6442E" w:rsidRPr="00C6442E" w:rsidTr="00C6442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6442E" w:rsidRPr="00C6442E" w:rsidTr="00C6442E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6442E" w:rsidRPr="00C6442E" w:rsidTr="00C6442E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2. Развитие энергосбережения и повышение </w:t>
            </w:r>
            <w:proofErr w:type="spell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жилищном фонде</w:t>
            </w:r>
          </w:p>
        </w:tc>
      </w:tr>
      <w:tr w:rsidR="00C6442E" w:rsidRPr="00C6442E" w:rsidTr="00C6442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энергосберегающих технологий в многоквартирных домах (8;9;10;11;12;13;14)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40 804,3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C6442E" w:rsidRPr="00C6442E" w:rsidTr="00C6442E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C6442E" w:rsidRPr="00C6442E" w:rsidTr="00C6442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 (15)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C6442E" w:rsidRPr="00C6442E" w:rsidTr="00C6442E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6442E" w:rsidRPr="00C6442E" w:rsidTr="00C6442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42E" w:rsidRPr="00C6442E" w:rsidTr="00C6442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42E" w:rsidRPr="00C6442E" w:rsidTr="00C6442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42E" w:rsidRPr="00C6442E" w:rsidTr="00A7307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42E" w:rsidRPr="00C6442E" w:rsidTr="00C6442E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</w:t>
            </w:r>
            <w:r w:rsidR="00A7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6442E" w:rsidRPr="00C6442E" w:rsidTr="00C6442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41 024,3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18 014,3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3 860,0</w:t>
            </w:r>
          </w:p>
        </w:tc>
      </w:tr>
      <w:tr w:rsidR="00C6442E" w:rsidRPr="00C6442E" w:rsidTr="00C6442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6442E" w:rsidRPr="00C6442E" w:rsidTr="00C6442E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3. Развитие энергосбережения и повышение </w:t>
            </w:r>
            <w:proofErr w:type="spell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системах коммунальной инфраструктуры</w:t>
            </w:r>
          </w:p>
        </w:tc>
      </w:tr>
      <w:tr w:rsidR="00C6442E" w:rsidRPr="00C6442E" w:rsidTr="00C6442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энергосберегающих мероприятий в системах тепл</w:t>
            </w:r>
            <w:proofErr w:type="gram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водо-, электроснабжения (16;17;18;19;20;21;22;23)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28 324,1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28 324,1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4. Развитие энергосбережения и повышения </w:t>
            </w:r>
            <w:proofErr w:type="spell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транспортном комплексе</w:t>
            </w:r>
          </w:p>
        </w:tc>
      </w:tr>
      <w:tr w:rsidR="00C6442E" w:rsidRPr="00C6442E" w:rsidTr="00C6442E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городского пассажирского транспорта, осуществляющего перевозки по муниципальным маршрутам</w:t>
            </w:r>
            <w:proofErr w:type="gram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газомоторное топливо (24;25;26;27;28;29)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6442E" w:rsidRPr="00C6442E" w:rsidTr="00C6442E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6442E" w:rsidRPr="00C6442E" w:rsidTr="00C6442E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101 340,7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46 338,4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5 060,0</w:t>
            </w:r>
          </w:p>
        </w:tc>
      </w:tr>
      <w:tr w:rsidR="00C6442E" w:rsidRPr="00C6442E" w:rsidTr="00C6442E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C6442E" w:rsidRPr="00C6442E" w:rsidTr="00C6442E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93 285,0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4 810,0</w:t>
            </w:r>
          </w:p>
        </w:tc>
      </w:tr>
      <w:tr w:rsidR="00C6442E" w:rsidRPr="00C6442E" w:rsidTr="00C6442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C6442E" w:rsidRPr="00C6442E" w:rsidTr="00C6442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100 440,7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46 338,4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4 860,0</w:t>
            </w:r>
          </w:p>
        </w:tc>
      </w:tr>
      <w:tr w:rsidR="00C6442E" w:rsidRPr="00C6442E" w:rsidTr="00C6442E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6442E" w:rsidRPr="00C6442E" w:rsidTr="00C6442E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93 285,0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4 810,0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Соисполнитель: Управление образования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6442E" w:rsidRPr="00C6442E" w:rsidTr="00C6442E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</w:tbl>
    <w:p w:rsidR="00C6442E" w:rsidRPr="00C6442E" w:rsidRDefault="00C6442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6442E" w:rsidRPr="00C6442E" w:rsidSect="00F415D2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62" w:rsidRDefault="00B90862" w:rsidP="002877B2">
      <w:pPr>
        <w:spacing w:after="0" w:line="240" w:lineRule="auto"/>
      </w:pPr>
      <w:r>
        <w:separator/>
      </w:r>
    </w:p>
  </w:endnote>
  <w:endnote w:type="continuationSeparator" w:id="0">
    <w:p w:rsidR="00B90862" w:rsidRDefault="00B90862" w:rsidP="0028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62" w:rsidRDefault="00B90862" w:rsidP="002877B2">
      <w:pPr>
        <w:spacing w:after="0" w:line="240" w:lineRule="auto"/>
      </w:pPr>
      <w:r>
        <w:separator/>
      </w:r>
    </w:p>
  </w:footnote>
  <w:footnote w:type="continuationSeparator" w:id="0">
    <w:p w:rsidR="00B90862" w:rsidRDefault="00B90862" w:rsidP="0028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8C"/>
    <w:multiLevelType w:val="hybridMultilevel"/>
    <w:tmpl w:val="F2EAB74A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C73"/>
    <w:multiLevelType w:val="hybridMultilevel"/>
    <w:tmpl w:val="98B4C144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14B7"/>
    <w:multiLevelType w:val="hybridMultilevel"/>
    <w:tmpl w:val="2E0032BE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433B"/>
    <w:multiLevelType w:val="hybridMultilevel"/>
    <w:tmpl w:val="C43EFAA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757E0"/>
    <w:multiLevelType w:val="hybridMultilevel"/>
    <w:tmpl w:val="D08290C4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2500F"/>
    <w:multiLevelType w:val="hybridMultilevel"/>
    <w:tmpl w:val="39A4C8A0"/>
    <w:lvl w:ilvl="0" w:tplc="2E607F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578AD"/>
    <w:multiLevelType w:val="hybridMultilevel"/>
    <w:tmpl w:val="A9A8FB9E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5E8A"/>
    <w:multiLevelType w:val="hybridMultilevel"/>
    <w:tmpl w:val="222EC434"/>
    <w:lvl w:ilvl="0" w:tplc="5B7C409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5789B"/>
    <w:multiLevelType w:val="hybridMultilevel"/>
    <w:tmpl w:val="62782570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16C4"/>
    <w:multiLevelType w:val="hybridMultilevel"/>
    <w:tmpl w:val="2508028C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64137"/>
    <w:multiLevelType w:val="hybridMultilevel"/>
    <w:tmpl w:val="A5F8C08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27D1C"/>
    <w:multiLevelType w:val="hybridMultilevel"/>
    <w:tmpl w:val="564E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7630"/>
    <w:multiLevelType w:val="hybridMultilevel"/>
    <w:tmpl w:val="B9B60196"/>
    <w:lvl w:ilvl="0" w:tplc="C3EA648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37D24"/>
    <w:multiLevelType w:val="hybridMultilevel"/>
    <w:tmpl w:val="25CEB49C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A4F39"/>
    <w:multiLevelType w:val="hybridMultilevel"/>
    <w:tmpl w:val="052013E4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47F6B"/>
    <w:multiLevelType w:val="hybridMultilevel"/>
    <w:tmpl w:val="E38AC32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432614"/>
    <w:multiLevelType w:val="hybridMultilevel"/>
    <w:tmpl w:val="8AF683E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D2EEB"/>
    <w:multiLevelType w:val="hybridMultilevel"/>
    <w:tmpl w:val="0CA0A1A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3EA64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632AD"/>
    <w:multiLevelType w:val="hybridMultilevel"/>
    <w:tmpl w:val="85C0975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D333F"/>
    <w:multiLevelType w:val="hybridMultilevel"/>
    <w:tmpl w:val="45AA180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E14AF0"/>
    <w:multiLevelType w:val="hybridMultilevel"/>
    <w:tmpl w:val="CE52D7BC"/>
    <w:lvl w:ilvl="0" w:tplc="99E0BED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D5F5B"/>
    <w:multiLevelType w:val="hybridMultilevel"/>
    <w:tmpl w:val="C136A64E"/>
    <w:lvl w:ilvl="0" w:tplc="DD8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BA0EE9"/>
    <w:multiLevelType w:val="multilevel"/>
    <w:tmpl w:val="4412E4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5"/>
  </w:num>
  <w:num w:numId="4">
    <w:abstractNumId w:val="1"/>
  </w:num>
  <w:num w:numId="5">
    <w:abstractNumId w:val="25"/>
  </w:num>
  <w:num w:numId="6">
    <w:abstractNumId w:val="6"/>
  </w:num>
  <w:num w:numId="7">
    <w:abstractNumId w:val="20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5"/>
  </w:num>
  <w:num w:numId="15">
    <w:abstractNumId w:val="4"/>
  </w:num>
  <w:num w:numId="16">
    <w:abstractNumId w:val="19"/>
  </w:num>
  <w:num w:numId="17">
    <w:abstractNumId w:val="26"/>
  </w:num>
  <w:num w:numId="18">
    <w:abstractNumId w:val="21"/>
  </w:num>
  <w:num w:numId="19">
    <w:abstractNumId w:val="10"/>
  </w:num>
  <w:num w:numId="20">
    <w:abstractNumId w:val="0"/>
  </w:num>
  <w:num w:numId="21">
    <w:abstractNumId w:val="22"/>
  </w:num>
  <w:num w:numId="22">
    <w:abstractNumId w:val="16"/>
  </w:num>
  <w:num w:numId="23">
    <w:abstractNumId w:val="14"/>
  </w:num>
  <w:num w:numId="24">
    <w:abstractNumId w:val="11"/>
  </w:num>
  <w:num w:numId="25">
    <w:abstractNumId w:val="28"/>
  </w:num>
  <w:num w:numId="26">
    <w:abstractNumId w:val="3"/>
  </w:num>
  <w:num w:numId="27">
    <w:abstractNumId w:val="9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2"/>
    <w:rsid w:val="000611F7"/>
    <w:rsid w:val="00075349"/>
    <w:rsid w:val="00076CDB"/>
    <w:rsid w:val="00091BFE"/>
    <w:rsid w:val="00097C8A"/>
    <w:rsid w:val="000C40C7"/>
    <w:rsid w:val="000F1D54"/>
    <w:rsid w:val="000F3685"/>
    <w:rsid w:val="00101D35"/>
    <w:rsid w:val="0010706B"/>
    <w:rsid w:val="001176D6"/>
    <w:rsid w:val="00125D21"/>
    <w:rsid w:val="00140DDA"/>
    <w:rsid w:val="00146BBA"/>
    <w:rsid w:val="001516D4"/>
    <w:rsid w:val="00174538"/>
    <w:rsid w:val="001953A4"/>
    <w:rsid w:val="001A6B5A"/>
    <w:rsid w:val="001D485A"/>
    <w:rsid w:val="001D5DEE"/>
    <w:rsid w:val="001E1F86"/>
    <w:rsid w:val="00202AB7"/>
    <w:rsid w:val="00207B6D"/>
    <w:rsid w:val="002241DD"/>
    <w:rsid w:val="002406D1"/>
    <w:rsid w:val="00240BBC"/>
    <w:rsid w:val="00250013"/>
    <w:rsid w:val="002877B2"/>
    <w:rsid w:val="002878F3"/>
    <w:rsid w:val="002924E3"/>
    <w:rsid w:val="002A7C8F"/>
    <w:rsid w:val="002B053D"/>
    <w:rsid w:val="002B07F4"/>
    <w:rsid w:val="002B35C4"/>
    <w:rsid w:val="002F443E"/>
    <w:rsid w:val="003565CD"/>
    <w:rsid w:val="00374C56"/>
    <w:rsid w:val="003767DC"/>
    <w:rsid w:val="00376B55"/>
    <w:rsid w:val="00380508"/>
    <w:rsid w:val="00391FFA"/>
    <w:rsid w:val="003A615E"/>
    <w:rsid w:val="003C129A"/>
    <w:rsid w:val="00413C9A"/>
    <w:rsid w:val="00472556"/>
    <w:rsid w:val="00472768"/>
    <w:rsid w:val="004776E4"/>
    <w:rsid w:val="0048033E"/>
    <w:rsid w:val="00483D55"/>
    <w:rsid w:val="004A1664"/>
    <w:rsid w:val="004A45DB"/>
    <w:rsid w:val="004D4F50"/>
    <w:rsid w:val="00537142"/>
    <w:rsid w:val="00537C15"/>
    <w:rsid w:val="00553082"/>
    <w:rsid w:val="00561CCA"/>
    <w:rsid w:val="00583328"/>
    <w:rsid w:val="005915D0"/>
    <w:rsid w:val="005C2E80"/>
    <w:rsid w:val="005F7D17"/>
    <w:rsid w:val="00607FF5"/>
    <w:rsid w:val="00616448"/>
    <w:rsid w:val="006342B7"/>
    <w:rsid w:val="00662C7A"/>
    <w:rsid w:val="0066699C"/>
    <w:rsid w:val="00684922"/>
    <w:rsid w:val="0072602D"/>
    <w:rsid w:val="00736121"/>
    <w:rsid w:val="007460EE"/>
    <w:rsid w:val="00772C76"/>
    <w:rsid w:val="007A6884"/>
    <w:rsid w:val="007E61DC"/>
    <w:rsid w:val="007F1772"/>
    <w:rsid w:val="008006EA"/>
    <w:rsid w:val="00811BE5"/>
    <w:rsid w:val="00815C0E"/>
    <w:rsid w:val="00851E13"/>
    <w:rsid w:val="0085224B"/>
    <w:rsid w:val="00863E0F"/>
    <w:rsid w:val="0087546F"/>
    <w:rsid w:val="008E2D89"/>
    <w:rsid w:val="009026D1"/>
    <w:rsid w:val="00941DFB"/>
    <w:rsid w:val="00976673"/>
    <w:rsid w:val="0097679D"/>
    <w:rsid w:val="00982B9E"/>
    <w:rsid w:val="00984192"/>
    <w:rsid w:val="009925F6"/>
    <w:rsid w:val="009A2CDE"/>
    <w:rsid w:val="009B2FA4"/>
    <w:rsid w:val="009C2BF3"/>
    <w:rsid w:val="009F778F"/>
    <w:rsid w:val="00A01292"/>
    <w:rsid w:val="00A0548D"/>
    <w:rsid w:val="00A22A19"/>
    <w:rsid w:val="00A27F13"/>
    <w:rsid w:val="00A34717"/>
    <w:rsid w:val="00A42650"/>
    <w:rsid w:val="00A46FE0"/>
    <w:rsid w:val="00A478D2"/>
    <w:rsid w:val="00A7114B"/>
    <w:rsid w:val="00A7307A"/>
    <w:rsid w:val="00A85909"/>
    <w:rsid w:val="00AB2823"/>
    <w:rsid w:val="00AE059C"/>
    <w:rsid w:val="00AF708F"/>
    <w:rsid w:val="00B043DD"/>
    <w:rsid w:val="00B05171"/>
    <w:rsid w:val="00B14E42"/>
    <w:rsid w:val="00B258F0"/>
    <w:rsid w:val="00B31C35"/>
    <w:rsid w:val="00B37E1A"/>
    <w:rsid w:val="00B442B5"/>
    <w:rsid w:val="00B66CBC"/>
    <w:rsid w:val="00B70DD4"/>
    <w:rsid w:val="00B71AEC"/>
    <w:rsid w:val="00B81582"/>
    <w:rsid w:val="00B90862"/>
    <w:rsid w:val="00BA5CA2"/>
    <w:rsid w:val="00C1180E"/>
    <w:rsid w:val="00C373CF"/>
    <w:rsid w:val="00C50CC4"/>
    <w:rsid w:val="00C55AB3"/>
    <w:rsid w:val="00C6442E"/>
    <w:rsid w:val="00C821A7"/>
    <w:rsid w:val="00D164C4"/>
    <w:rsid w:val="00D25DE9"/>
    <w:rsid w:val="00D408B9"/>
    <w:rsid w:val="00D41212"/>
    <w:rsid w:val="00D740F4"/>
    <w:rsid w:val="00DA2E65"/>
    <w:rsid w:val="00DD489B"/>
    <w:rsid w:val="00DF677D"/>
    <w:rsid w:val="00E00C4A"/>
    <w:rsid w:val="00E10510"/>
    <w:rsid w:val="00E628D5"/>
    <w:rsid w:val="00E82188"/>
    <w:rsid w:val="00E90EB4"/>
    <w:rsid w:val="00EB559E"/>
    <w:rsid w:val="00EC7103"/>
    <w:rsid w:val="00ED5915"/>
    <w:rsid w:val="00EF717E"/>
    <w:rsid w:val="00F06435"/>
    <w:rsid w:val="00F11ABB"/>
    <w:rsid w:val="00F14E32"/>
    <w:rsid w:val="00F22267"/>
    <w:rsid w:val="00F415D2"/>
    <w:rsid w:val="00FA1139"/>
    <w:rsid w:val="00FA1B83"/>
    <w:rsid w:val="00FC6C9E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2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21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412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B2"/>
  </w:style>
  <w:style w:type="paragraph" w:styleId="a6">
    <w:name w:val="footer"/>
    <w:basedOn w:val="a"/>
    <w:link w:val="a7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B2"/>
  </w:style>
  <w:style w:type="paragraph" w:customStyle="1" w:styleId="ConsPlusTitle">
    <w:name w:val="ConsPlusTitle"/>
    <w:rsid w:val="00287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2877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uiPriority w:val="99"/>
    <w:rsid w:val="003767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3767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3767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2">
    <w:name w:val="Font Style232"/>
    <w:uiPriority w:val="99"/>
    <w:rsid w:val="003767D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3767D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ConsPlusNormal0">
    <w:name w:val="ConsPlusNormal Знак"/>
    <w:basedOn w:val="a0"/>
    <w:link w:val="ConsPlusNormal"/>
    <w:locked/>
    <w:rsid w:val="003767DC"/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85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c">
    <w:name w:val="Placeholder Text"/>
    <w:basedOn w:val="a0"/>
    <w:uiPriority w:val="99"/>
    <w:semiHidden/>
    <w:rsid w:val="004803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2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21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412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B2"/>
  </w:style>
  <w:style w:type="paragraph" w:styleId="a6">
    <w:name w:val="footer"/>
    <w:basedOn w:val="a"/>
    <w:link w:val="a7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B2"/>
  </w:style>
  <w:style w:type="paragraph" w:customStyle="1" w:styleId="ConsPlusTitle">
    <w:name w:val="ConsPlusTitle"/>
    <w:rsid w:val="00287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2877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uiPriority w:val="99"/>
    <w:rsid w:val="003767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3767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3767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2">
    <w:name w:val="Font Style232"/>
    <w:uiPriority w:val="99"/>
    <w:rsid w:val="003767D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3767D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ConsPlusNormal0">
    <w:name w:val="ConsPlusNormal Знак"/>
    <w:basedOn w:val="a0"/>
    <w:link w:val="ConsPlusNormal"/>
    <w:locked/>
    <w:rsid w:val="003767DC"/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85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c">
    <w:name w:val="Placeholder Text"/>
    <w:basedOn w:val="a0"/>
    <w:uiPriority w:val="99"/>
    <w:semiHidden/>
    <w:rsid w:val="00480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FDAD-ECA8-4C2F-9CD7-5960C793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21</Pages>
  <Words>7499</Words>
  <Characters>42746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Кожухова Мария Игоревна</cp:lastModifiedBy>
  <cp:revision>49</cp:revision>
  <cp:lastPrinted>2016-11-21T10:59:00Z</cp:lastPrinted>
  <dcterms:created xsi:type="dcterms:W3CDTF">2015-12-10T12:04:00Z</dcterms:created>
  <dcterms:modified xsi:type="dcterms:W3CDTF">2018-01-09T07:42:00Z</dcterms:modified>
</cp:coreProperties>
</file>