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3" w:rsidRDefault="00393213" w:rsidP="003932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393213" w:rsidRDefault="00393213" w:rsidP="003932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письму УСП </w:t>
      </w:r>
    </w:p>
    <w:p w:rsidR="00393213" w:rsidRPr="00393213" w:rsidRDefault="00393213" w:rsidP="003932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1919BB">
        <w:rPr>
          <w:rFonts w:ascii="Times New Roman" w:hAnsi="Times New Roman" w:cs="Times New Roman"/>
          <w:b/>
          <w:sz w:val="20"/>
          <w:szCs w:val="20"/>
        </w:rPr>
        <w:t>23-02-Исх-30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440F5">
        <w:rPr>
          <w:rFonts w:ascii="Times New Roman" w:hAnsi="Times New Roman" w:cs="Times New Roman"/>
          <w:b/>
          <w:sz w:val="20"/>
          <w:szCs w:val="20"/>
        </w:rPr>
        <w:t>«_</w:t>
      </w:r>
      <w:r w:rsidR="001919BB">
        <w:rPr>
          <w:rFonts w:ascii="Times New Roman" w:hAnsi="Times New Roman" w:cs="Times New Roman"/>
          <w:b/>
          <w:sz w:val="20"/>
          <w:szCs w:val="20"/>
        </w:rPr>
        <w:t>24</w:t>
      </w:r>
      <w:r w:rsidR="001440F5">
        <w:rPr>
          <w:rFonts w:ascii="Times New Roman" w:hAnsi="Times New Roman" w:cs="Times New Roman"/>
          <w:b/>
          <w:sz w:val="20"/>
          <w:szCs w:val="20"/>
        </w:rPr>
        <w:t xml:space="preserve">_» января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1440F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3213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0C57" w:rsidRDefault="00ED0C57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213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1D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отдыха и оздоровления детей </w:t>
      </w:r>
    </w:p>
    <w:p w:rsidR="00393213" w:rsidRPr="00DB451D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0F5" w:rsidRPr="0040397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40397B">
        <w:rPr>
          <w:rFonts w:eastAsia="Arial"/>
          <w:sz w:val="24"/>
          <w:szCs w:val="24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государственной политики </w:t>
      </w:r>
      <w:proofErr w:type="gramStart"/>
      <w:r w:rsidRPr="006C71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7155">
        <w:rPr>
          <w:rFonts w:ascii="Times New Roman" w:hAnsi="Times New Roman" w:cs="Times New Roman"/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лагеря с дневным пребыванием детей;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санаторий – профилакторий общества с ограниченной ответственностью «Газпром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Югорск», 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так и за его пределами в климатически благоприятных зонах (детские оздоровительные лагеря). </w:t>
      </w:r>
    </w:p>
    <w:p w:rsidR="001440F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К началу летнего периода был проведен конкурс программ-проектов по организации отдыха и оздоровления детей, подростков и молодежи. </w:t>
      </w:r>
      <w:r w:rsidR="001440F5" w:rsidRPr="001440F5">
        <w:rPr>
          <w:rFonts w:ascii="Times New Roman" w:hAnsi="Times New Roman" w:cs="Times New Roman"/>
          <w:sz w:val="24"/>
          <w:szCs w:val="24"/>
        </w:rPr>
        <w:t xml:space="preserve">На конкурс было представлено 18 программ. Гранты получили:   </w:t>
      </w:r>
    </w:p>
    <w:p w:rsidR="001440F5" w:rsidRDefault="001440F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40F5">
        <w:rPr>
          <w:rFonts w:ascii="Times New Roman" w:hAnsi="Times New Roman" w:cs="Times New Roman"/>
          <w:sz w:val="24"/>
          <w:szCs w:val="24"/>
        </w:rPr>
        <w:t>) Грант 1-о</w:t>
      </w:r>
      <w:r>
        <w:rPr>
          <w:rFonts w:ascii="Times New Roman" w:hAnsi="Times New Roman" w:cs="Times New Roman"/>
          <w:sz w:val="24"/>
          <w:szCs w:val="24"/>
        </w:rPr>
        <w:t>й степени, 65,0тыс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- МБОУ «</w:t>
      </w:r>
      <w:r w:rsidRPr="001440F5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0F5">
        <w:rPr>
          <w:rFonts w:ascii="Times New Roman" w:hAnsi="Times New Roman" w:cs="Times New Roman"/>
          <w:sz w:val="24"/>
          <w:szCs w:val="24"/>
        </w:rPr>
        <w:t xml:space="preserve"> с проектом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0F5">
        <w:rPr>
          <w:rFonts w:ascii="Times New Roman" w:hAnsi="Times New Roman" w:cs="Times New Roman"/>
          <w:sz w:val="24"/>
          <w:szCs w:val="24"/>
        </w:rPr>
        <w:t>По Югре за 21 день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40F5" w:rsidRDefault="001440F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0F5">
        <w:rPr>
          <w:rFonts w:ascii="Times New Roman" w:hAnsi="Times New Roman" w:cs="Times New Roman"/>
          <w:sz w:val="24"/>
          <w:szCs w:val="24"/>
        </w:rPr>
        <w:t>2) Грант 2-ой степени в размере 40,0тыс</w:t>
      </w:r>
      <w:proofErr w:type="gramStart"/>
      <w:r w:rsidRPr="0014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F5">
        <w:rPr>
          <w:rFonts w:ascii="Times New Roman" w:hAnsi="Times New Roman" w:cs="Times New Roman"/>
          <w:sz w:val="24"/>
          <w:szCs w:val="24"/>
        </w:rPr>
        <w:t xml:space="preserve">уб. -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0F5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0F5">
        <w:rPr>
          <w:rFonts w:ascii="Times New Roman" w:hAnsi="Times New Roman" w:cs="Times New Roman"/>
          <w:sz w:val="24"/>
          <w:szCs w:val="24"/>
        </w:rPr>
        <w:t xml:space="preserve"> с проектом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0F5">
        <w:rPr>
          <w:rFonts w:ascii="Times New Roman" w:hAnsi="Times New Roman" w:cs="Times New Roman"/>
          <w:sz w:val="24"/>
          <w:szCs w:val="24"/>
        </w:rPr>
        <w:t>Калейдоскоп времен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40F5" w:rsidRDefault="001440F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0F5">
        <w:rPr>
          <w:rFonts w:ascii="Times New Roman" w:hAnsi="Times New Roman" w:cs="Times New Roman"/>
          <w:sz w:val="24"/>
          <w:szCs w:val="24"/>
        </w:rPr>
        <w:t>3) Грант 3-йе степени в размере 25,0тыс</w:t>
      </w:r>
      <w:proofErr w:type="gramStart"/>
      <w:r w:rsidRPr="0014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0F5">
        <w:rPr>
          <w:rFonts w:ascii="Times New Roman" w:hAnsi="Times New Roman" w:cs="Times New Roman"/>
          <w:sz w:val="24"/>
          <w:szCs w:val="24"/>
        </w:rPr>
        <w:t xml:space="preserve">уб. - МАУ </w:t>
      </w:r>
      <w:r>
        <w:rPr>
          <w:rFonts w:ascii="Times New Roman" w:hAnsi="Times New Roman" w:cs="Times New Roman"/>
          <w:sz w:val="24"/>
          <w:szCs w:val="24"/>
        </w:rPr>
        <w:t>«МЦ «Гелиос»</w:t>
      </w:r>
      <w:r w:rsidRPr="001440F5">
        <w:rPr>
          <w:rFonts w:ascii="Times New Roman" w:hAnsi="Times New Roman" w:cs="Times New Roman"/>
          <w:sz w:val="24"/>
          <w:szCs w:val="24"/>
        </w:rPr>
        <w:t xml:space="preserve"> с проектом </w:t>
      </w:r>
      <w:r>
        <w:rPr>
          <w:rFonts w:ascii="Times New Roman" w:hAnsi="Times New Roman" w:cs="Times New Roman"/>
          <w:sz w:val="24"/>
          <w:szCs w:val="24"/>
        </w:rPr>
        <w:t>«Энергия молодости»</w:t>
      </w:r>
      <w:r w:rsidRPr="001440F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Данные программы в дальнейшем были реализованы в лагерях с дневным пребыванием детей</w:t>
      </w:r>
      <w:r w:rsidR="001440F5">
        <w:rPr>
          <w:rFonts w:ascii="Times New Roman" w:hAnsi="Times New Roman" w:cs="Times New Roman"/>
          <w:sz w:val="24"/>
          <w:szCs w:val="24"/>
        </w:rPr>
        <w:t xml:space="preserve"> на базе учреждений города Югорска</w:t>
      </w:r>
      <w:r w:rsidRPr="006C7155">
        <w:rPr>
          <w:rFonts w:ascii="Times New Roman" w:hAnsi="Times New Roman" w:cs="Times New Roman"/>
          <w:sz w:val="24"/>
          <w:szCs w:val="24"/>
        </w:rPr>
        <w:t>.</w:t>
      </w:r>
    </w:p>
    <w:p w:rsidR="001440F5" w:rsidRDefault="001440F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297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С а</w:t>
      </w:r>
      <w:r w:rsidR="001440F5">
        <w:rPr>
          <w:rFonts w:ascii="Times New Roman" w:hAnsi="Times New Roman" w:cs="Times New Roman"/>
          <w:sz w:val="24"/>
          <w:szCs w:val="24"/>
        </w:rPr>
        <w:t>преля</w:t>
      </w:r>
      <w:r w:rsidRPr="006C7155">
        <w:rPr>
          <w:rFonts w:ascii="Times New Roman" w:hAnsi="Times New Roman" w:cs="Times New Roman"/>
          <w:sz w:val="24"/>
          <w:szCs w:val="24"/>
        </w:rPr>
        <w:t xml:space="preserve"> 201</w:t>
      </w:r>
      <w:r w:rsidR="001440F5">
        <w:rPr>
          <w:rFonts w:ascii="Times New Roman" w:hAnsi="Times New Roman" w:cs="Times New Roman"/>
          <w:sz w:val="24"/>
          <w:szCs w:val="24"/>
        </w:rPr>
        <w:t>9</w:t>
      </w:r>
      <w:r w:rsidRPr="006C7155">
        <w:rPr>
          <w:rFonts w:ascii="Times New Roman" w:hAnsi="Times New Roman" w:cs="Times New Roman"/>
          <w:sz w:val="24"/>
          <w:szCs w:val="24"/>
        </w:rPr>
        <w:t xml:space="preserve"> года был начат прием заявлений от родителей на отдых и оздоровление детей от 6 до 17 лет (включительно) в лагеря, расположенные за пределами города Югорска, а также в санаторий – профилакторий общества с ограниченной ответственностью «Газпром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Югорск».</w:t>
      </w:r>
    </w:p>
    <w:p w:rsidR="0061430A" w:rsidRPr="0061430A" w:rsidRDefault="0061430A" w:rsidP="0061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30A">
        <w:rPr>
          <w:rFonts w:ascii="Times New Roman" w:hAnsi="Times New Roman" w:cs="Times New Roman"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sz w:val="24"/>
          <w:szCs w:val="24"/>
        </w:rPr>
        <w:t xml:space="preserve">(выездного) </w:t>
      </w:r>
      <w:r w:rsidRPr="0061430A">
        <w:rPr>
          <w:rFonts w:ascii="Times New Roman" w:hAnsi="Times New Roman" w:cs="Times New Roman"/>
          <w:sz w:val="24"/>
          <w:szCs w:val="24"/>
        </w:rPr>
        <w:t>отдыха и оздоровления детей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430A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61430A" w:rsidRDefault="0061430A" w:rsidP="006143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D50" w:rsidRPr="005A7D1E">
        <w:rPr>
          <w:rFonts w:ascii="Times New Roman" w:hAnsi="Times New Roman"/>
          <w:sz w:val="24"/>
          <w:szCs w:val="24"/>
        </w:rPr>
        <w:t>Тюменская область, г. Тюмень, ДОЛ «Снежинка»</w:t>
      </w:r>
      <w:r>
        <w:rPr>
          <w:rFonts w:ascii="Times New Roman" w:hAnsi="Times New Roman"/>
          <w:sz w:val="24"/>
          <w:szCs w:val="24"/>
        </w:rPr>
        <w:t>;</w:t>
      </w:r>
    </w:p>
    <w:p w:rsidR="0061430A" w:rsidRDefault="0061430A" w:rsidP="0061430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D50" w:rsidRPr="00D438A1">
        <w:rPr>
          <w:rFonts w:ascii="Times New Roman" w:hAnsi="Times New Roman"/>
          <w:sz w:val="24"/>
          <w:szCs w:val="24"/>
        </w:rPr>
        <w:t>Московск</w:t>
      </w:r>
      <w:r w:rsidR="00DA18F2">
        <w:rPr>
          <w:rFonts w:ascii="Times New Roman" w:hAnsi="Times New Roman"/>
          <w:sz w:val="24"/>
          <w:szCs w:val="24"/>
        </w:rPr>
        <w:t>ая</w:t>
      </w:r>
      <w:r w:rsidR="00215D50" w:rsidRPr="00D438A1">
        <w:rPr>
          <w:rFonts w:ascii="Times New Roman" w:hAnsi="Times New Roman"/>
          <w:sz w:val="24"/>
          <w:szCs w:val="24"/>
        </w:rPr>
        <w:t xml:space="preserve"> обл.,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D50" w:rsidRPr="00D438A1">
        <w:rPr>
          <w:rFonts w:ascii="Times New Roman" w:hAnsi="Times New Roman"/>
          <w:sz w:val="24"/>
          <w:szCs w:val="24"/>
        </w:rPr>
        <w:t>Поливаново</w:t>
      </w:r>
      <w:proofErr w:type="spellEnd"/>
      <w:r w:rsidR="00215D50" w:rsidRPr="005A7D1E">
        <w:rPr>
          <w:rFonts w:ascii="Times New Roman" w:hAnsi="Times New Roman"/>
          <w:sz w:val="24"/>
          <w:szCs w:val="24"/>
        </w:rPr>
        <w:t xml:space="preserve">, </w:t>
      </w:r>
      <w:r w:rsidR="00215D50" w:rsidRPr="00D438A1">
        <w:rPr>
          <w:rFonts w:ascii="Times New Roman" w:hAnsi="Times New Roman"/>
          <w:sz w:val="24"/>
          <w:szCs w:val="24"/>
        </w:rPr>
        <w:t xml:space="preserve">ДЮОЦ </w:t>
      </w:r>
      <w:r>
        <w:rPr>
          <w:rFonts w:ascii="Times New Roman" w:hAnsi="Times New Roman"/>
          <w:sz w:val="24"/>
          <w:szCs w:val="24"/>
        </w:rPr>
        <w:t>«</w:t>
      </w:r>
      <w:r w:rsidR="00215D50" w:rsidRPr="00D438A1">
        <w:rPr>
          <w:rFonts w:ascii="Times New Roman" w:hAnsi="Times New Roman"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>»;</w:t>
      </w:r>
    </w:p>
    <w:p w:rsidR="00215D50" w:rsidRPr="005A7D1E" w:rsidRDefault="0061430A" w:rsidP="0061430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D50" w:rsidRPr="005A7D1E">
        <w:rPr>
          <w:rFonts w:ascii="Times New Roman" w:hAnsi="Times New Roman"/>
          <w:sz w:val="24"/>
          <w:szCs w:val="24"/>
        </w:rPr>
        <w:t>Краснодарский край, город Туапсе, ДОЛ «Восток»</w:t>
      </w:r>
      <w:r>
        <w:rPr>
          <w:rFonts w:ascii="Times New Roman" w:hAnsi="Times New Roman"/>
          <w:sz w:val="24"/>
          <w:szCs w:val="24"/>
        </w:rPr>
        <w:t>;</w:t>
      </w:r>
    </w:p>
    <w:p w:rsidR="00215D50" w:rsidRPr="005A7D1E" w:rsidRDefault="0061430A" w:rsidP="0061430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D50" w:rsidRPr="005A7D1E">
        <w:rPr>
          <w:rFonts w:ascii="Times New Roman" w:hAnsi="Times New Roman"/>
          <w:sz w:val="24"/>
          <w:szCs w:val="24"/>
        </w:rPr>
        <w:t>Республика Крым, город Евпатория, ДОЛ «Эволюция»</w:t>
      </w:r>
      <w:r>
        <w:rPr>
          <w:rFonts w:ascii="Times New Roman" w:hAnsi="Times New Roman"/>
          <w:sz w:val="24"/>
          <w:szCs w:val="24"/>
        </w:rPr>
        <w:t>;</w:t>
      </w:r>
    </w:p>
    <w:p w:rsidR="00215D50" w:rsidRPr="005A7D1E" w:rsidRDefault="0061430A" w:rsidP="0061430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D50" w:rsidRPr="005A7D1E">
        <w:rPr>
          <w:rFonts w:ascii="Times New Roman" w:hAnsi="Times New Roman"/>
          <w:sz w:val="24"/>
          <w:szCs w:val="24"/>
        </w:rPr>
        <w:t xml:space="preserve">Республика Башкортостан, г. Магнитогорск, ДООЦ </w:t>
      </w:r>
      <w:r>
        <w:rPr>
          <w:rFonts w:ascii="Times New Roman" w:hAnsi="Times New Roman"/>
          <w:sz w:val="24"/>
          <w:szCs w:val="24"/>
        </w:rPr>
        <w:t>«</w:t>
      </w:r>
      <w:r w:rsidR="00215D50" w:rsidRPr="005A7D1E">
        <w:rPr>
          <w:rFonts w:ascii="Times New Roman" w:hAnsi="Times New Roman"/>
          <w:sz w:val="24"/>
          <w:szCs w:val="24"/>
        </w:rPr>
        <w:t>Уральские зори</w:t>
      </w:r>
      <w:r>
        <w:rPr>
          <w:rFonts w:ascii="Times New Roman" w:hAnsi="Times New Roman"/>
          <w:sz w:val="24"/>
          <w:szCs w:val="24"/>
        </w:rPr>
        <w:t>»</w:t>
      </w:r>
      <w:r w:rsidR="00215D50" w:rsidRPr="005A7D1E">
        <w:rPr>
          <w:rFonts w:ascii="Times New Roman" w:hAnsi="Times New Roman"/>
          <w:sz w:val="24"/>
          <w:szCs w:val="24"/>
        </w:rPr>
        <w:t>;</w:t>
      </w:r>
    </w:p>
    <w:p w:rsidR="00215D50" w:rsidRPr="005A7D1E" w:rsidRDefault="0061430A" w:rsidP="0061430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D50" w:rsidRPr="005A7D1E">
        <w:rPr>
          <w:rFonts w:ascii="Times New Roman" w:hAnsi="Times New Roman"/>
          <w:sz w:val="24"/>
          <w:szCs w:val="24"/>
        </w:rPr>
        <w:t>ХМАО-Югра, г. Советский, ДОЛ «Окуневские зори»</w:t>
      </w:r>
      <w:r>
        <w:rPr>
          <w:rFonts w:ascii="Times New Roman" w:hAnsi="Times New Roman"/>
          <w:sz w:val="24"/>
          <w:szCs w:val="24"/>
        </w:rPr>
        <w:t>.</w:t>
      </w:r>
    </w:p>
    <w:p w:rsidR="0061430A" w:rsidRDefault="0061430A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Отдых и оздоровление детей города Югорска в 201</w:t>
      </w:r>
      <w:r w:rsidR="001440F5">
        <w:rPr>
          <w:rFonts w:ascii="Times New Roman" w:hAnsi="Times New Roman" w:cs="Times New Roman"/>
          <w:sz w:val="24"/>
          <w:szCs w:val="24"/>
        </w:rPr>
        <w:t>9</w:t>
      </w:r>
      <w:r w:rsidRPr="006C7155">
        <w:rPr>
          <w:rFonts w:ascii="Times New Roman" w:hAnsi="Times New Roman" w:cs="Times New Roman"/>
          <w:sz w:val="24"/>
          <w:szCs w:val="24"/>
        </w:rPr>
        <w:t xml:space="preserve"> году реализовыва</w:t>
      </w:r>
      <w:r w:rsidR="00F90283" w:rsidRPr="006C7155">
        <w:rPr>
          <w:rFonts w:ascii="Times New Roman" w:hAnsi="Times New Roman" w:cs="Times New Roman"/>
          <w:sz w:val="24"/>
          <w:szCs w:val="24"/>
        </w:rPr>
        <w:t>лся</w:t>
      </w:r>
      <w:r w:rsidRPr="006C7155">
        <w:rPr>
          <w:rFonts w:ascii="Times New Roman" w:hAnsi="Times New Roman" w:cs="Times New Roman"/>
          <w:sz w:val="24"/>
          <w:szCs w:val="24"/>
        </w:rPr>
        <w:t xml:space="preserve"> с мая на территории города (санаторий – профилакторий)</w:t>
      </w:r>
      <w:r w:rsidR="00F90283" w:rsidRPr="006C7155">
        <w:rPr>
          <w:rFonts w:ascii="Times New Roman" w:hAnsi="Times New Roman" w:cs="Times New Roman"/>
          <w:sz w:val="24"/>
          <w:szCs w:val="24"/>
        </w:rPr>
        <w:t>,</w:t>
      </w:r>
      <w:r w:rsidRPr="006C7155">
        <w:rPr>
          <w:rFonts w:ascii="Times New Roman" w:hAnsi="Times New Roman" w:cs="Times New Roman"/>
          <w:sz w:val="24"/>
          <w:szCs w:val="24"/>
        </w:rPr>
        <w:t xml:space="preserve"> с июня стартовала отправка первой организованной смены детей в ДОЛ, расположенные за пределами города.</w:t>
      </w:r>
    </w:p>
    <w:p w:rsidR="001440F5" w:rsidRPr="000843C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Всего за </w:t>
      </w:r>
      <w:proofErr w:type="gramStart"/>
      <w:r w:rsidRPr="000843CB">
        <w:rPr>
          <w:rFonts w:eastAsia="Arial"/>
          <w:sz w:val="24"/>
          <w:szCs w:val="24"/>
        </w:rPr>
        <w:t>отчетный</w:t>
      </w:r>
      <w:proofErr w:type="gramEnd"/>
      <w:r w:rsidRPr="000843CB">
        <w:rPr>
          <w:rFonts w:eastAsia="Arial"/>
          <w:sz w:val="24"/>
          <w:szCs w:val="24"/>
        </w:rPr>
        <w:t xml:space="preserve"> период организованными формами отдыха и оздоровления было охвачено </w:t>
      </w:r>
      <w:r w:rsidR="001919BB">
        <w:rPr>
          <w:rFonts w:eastAsia="Arial"/>
          <w:sz w:val="24"/>
          <w:szCs w:val="24"/>
        </w:rPr>
        <w:t>2 644</w:t>
      </w:r>
      <w:r w:rsidRPr="000843CB">
        <w:rPr>
          <w:rFonts w:eastAsia="Arial"/>
          <w:sz w:val="24"/>
          <w:szCs w:val="24"/>
        </w:rPr>
        <w:t xml:space="preserve"> детей, включая:</w:t>
      </w:r>
    </w:p>
    <w:p w:rsidR="001440F5" w:rsidRPr="000843C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>100</w:t>
      </w:r>
      <w:r w:rsidRPr="000843CB">
        <w:rPr>
          <w:rFonts w:eastAsia="Arial"/>
          <w:sz w:val="24"/>
          <w:szCs w:val="24"/>
        </w:rPr>
        <w:t xml:space="preserve"> детей</w:t>
      </w:r>
      <w:r>
        <w:rPr>
          <w:rFonts w:eastAsia="Arial"/>
          <w:sz w:val="24"/>
          <w:szCs w:val="24"/>
        </w:rPr>
        <w:t xml:space="preserve"> оздоровились</w:t>
      </w:r>
      <w:r w:rsidRPr="000843CB">
        <w:rPr>
          <w:rFonts w:eastAsia="Arial"/>
          <w:sz w:val="24"/>
          <w:szCs w:val="24"/>
        </w:rPr>
        <w:t xml:space="preserve"> на базе санатория-профилактория ООО «Газпром </w:t>
      </w:r>
      <w:proofErr w:type="spellStart"/>
      <w:r w:rsidRPr="000843CB">
        <w:rPr>
          <w:rFonts w:eastAsia="Arial"/>
          <w:sz w:val="24"/>
          <w:szCs w:val="24"/>
        </w:rPr>
        <w:t>трансгаз</w:t>
      </w:r>
      <w:proofErr w:type="spellEnd"/>
      <w:r w:rsidRPr="000843CB">
        <w:rPr>
          <w:rFonts w:eastAsia="Arial"/>
          <w:sz w:val="24"/>
          <w:szCs w:val="24"/>
        </w:rPr>
        <w:t xml:space="preserve"> </w:t>
      </w:r>
      <w:r w:rsidRPr="000843CB">
        <w:rPr>
          <w:rFonts w:eastAsia="Arial"/>
          <w:sz w:val="24"/>
          <w:szCs w:val="24"/>
        </w:rPr>
        <w:lastRenderedPageBreak/>
        <w:t>Югорск»;</w:t>
      </w:r>
    </w:p>
    <w:p w:rsidR="001440F5" w:rsidRPr="000843C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 xml:space="preserve">321 ребенок (в том числе 20 наградных путевок) отдохнул и оздоровился </w:t>
      </w:r>
      <w:r w:rsidRPr="000843CB">
        <w:rPr>
          <w:rFonts w:eastAsia="Arial"/>
          <w:sz w:val="24"/>
          <w:szCs w:val="24"/>
        </w:rPr>
        <w:t>на базе детских оздоровительных лагерей</w:t>
      </w:r>
      <w:r>
        <w:rPr>
          <w:rFonts w:eastAsia="Arial"/>
          <w:sz w:val="24"/>
          <w:szCs w:val="24"/>
        </w:rPr>
        <w:t>, расположенных за пределами города Югорска</w:t>
      </w:r>
      <w:r w:rsidRPr="000843CB">
        <w:rPr>
          <w:rFonts w:eastAsia="Arial"/>
          <w:sz w:val="24"/>
          <w:szCs w:val="24"/>
        </w:rPr>
        <w:t xml:space="preserve"> (выездной отдых);</w:t>
      </w:r>
    </w:p>
    <w:p w:rsidR="001440F5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>2 083</w:t>
      </w:r>
      <w:r w:rsidRPr="000843C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ребенка были заняты</w:t>
      </w:r>
      <w:r w:rsidRPr="000843C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организованными формами отдыха в лагерях с дневным пребыванием детей </w:t>
      </w:r>
      <w:r w:rsidRPr="000843CB">
        <w:rPr>
          <w:rFonts w:eastAsia="Arial"/>
          <w:sz w:val="24"/>
          <w:szCs w:val="24"/>
        </w:rPr>
        <w:t>на базе  учреждений социальной сферы города Югорска (образовани</w:t>
      </w:r>
      <w:r>
        <w:rPr>
          <w:rFonts w:eastAsia="Arial"/>
          <w:sz w:val="24"/>
          <w:szCs w:val="24"/>
        </w:rPr>
        <w:t>е</w:t>
      </w:r>
      <w:r w:rsidRPr="000843CB">
        <w:rPr>
          <w:rFonts w:eastAsia="Arial"/>
          <w:sz w:val="24"/>
          <w:szCs w:val="24"/>
        </w:rPr>
        <w:t>, культур</w:t>
      </w:r>
      <w:r>
        <w:rPr>
          <w:rFonts w:eastAsia="Arial"/>
          <w:sz w:val="24"/>
          <w:szCs w:val="24"/>
        </w:rPr>
        <w:t>а</w:t>
      </w:r>
      <w:r w:rsidRPr="000843CB">
        <w:rPr>
          <w:rFonts w:eastAsia="Arial"/>
          <w:sz w:val="24"/>
          <w:szCs w:val="24"/>
        </w:rPr>
        <w:t>, спорт);</w:t>
      </w:r>
    </w:p>
    <w:p w:rsidR="001440F5" w:rsidRPr="000843CB" w:rsidRDefault="001440F5" w:rsidP="001440F5">
      <w:pPr>
        <w:suppressAutoHyphens/>
        <w:ind w:firstLine="709"/>
        <w:jc w:val="both"/>
        <w:rPr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 xml:space="preserve">50 детей были заняты в лагере труда и отдыха </w:t>
      </w:r>
      <w:r w:rsidRPr="000843CB">
        <w:rPr>
          <w:rFonts w:eastAsia="Calibri"/>
          <w:sz w:val="24"/>
          <w:szCs w:val="24"/>
        </w:rPr>
        <w:t xml:space="preserve">на базе мультимедийного агентства </w:t>
      </w:r>
      <w:r>
        <w:rPr>
          <w:sz w:val="24"/>
          <w:szCs w:val="24"/>
          <w:lang w:eastAsia="ru-RU"/>
        </w:rPr>
        <w:t>МАУ «Молодежный центр</w:t>
      </w:r>
      <w:r w:rsidRPr="000843CB">
        <w:rPr>
          <w:sz w:val="24"/>
          <w:szCs w:val="24"/>
          <w:lang w:eastAsia="ru-RU"/>
        </w:rPr>
        <w:t xml:space="preserve"> «Гелиос» </w:t>
      </w:r>
      <w:r w:rsidRPr="000843CB">
        <w:rPr>
          <w:rFonts w:eastAsia="Calibri"/>
          <w:sz w:val="24"/>
          <w:szCs w:val="24"/>
        </w:rPr>
        <w:t>(2 смены по 25 человек)</w:t>
      </w:r>
      <w:r>
        <w:rPr>
          <w:rFonts w:eastAsia="Calibri"/>
          <w:sz w:val="24"/>
          <w:szCs w:val="24"/>
        </w:rPr>
        <w:t>;</w:t>
      </w:r>
    </w:p>
    <w:p w:rsidR="001440F5" w:rsidRPr="000843C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>- 90 детей на базе некоммерческих организаций, из них:</w:t>
      </w:r>
    </w:p>
    <w:p w:rsidR="001440F5" w:rsidRPr="000843CB" w:rsidRDefault="001440F5" w:rsidP="001440F5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0843CB">
        <w:rPr>
          <w:rFonts w:eastAsia="Arial"/>
          <w:sz w:val="24"/>
          <w:szCs w:val="24"/>
        </w:rPr>
        <w:t xml:space="preserve"> </w:t>
      </w:r>
      <w:r w:rsidR="001919BB">
        <w:rPr>
          <w:rFonts w:eastAsia="Arial"/>
          <w:sz w:val="24"/>
          <w:szCs w:val="24"/>
        </w:rPr>
        <w:t xml:space="preserve">* </w:t>
      </w:r>
      <w:r w:rsidRPr="000843CB">
        <w:rPr>
          <w:rFonts w:eastAsia="Arial"/>
          <w:sz w:val="24"/>
          <w:szCs w:val="24"/>
        </w:rPr>
        <w:t>организован отдых в частном общеобразовательном учреждении «Православная гимназия преподобного Серг</w:t>
      </w:r>
      <w:r>
        <w:rPr>
          <w:rFonts w:eastAsia="Arial"/>
          <w:sz w:val="24"/>
          <w:szCs w:val="24"/>
        </w:rPr>
        <w:t>ия Радонежского» для 30 человек.</w:t>
      </w:r>
    </w:p>
    <w:p w:rsidR="001440F5" w:rsidRDefault="001919BB" w:rsidP="001440F5">
      <w:pPr>
        <w:suppressAutoHyphens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* в</w:t>
      </w:r>
      <w:r w:rsidR="001440F5" w:rsidRPr="000843CB">
        <w:rPr>
          <w:sz w:val="24"/>
          <w:szCs w:val="24"/>
          <w:lang w:eastAsia="en-US"/>
        </w:rPr>
        <w:t>первые в 2019 году на базе автономной некоммерческой организации социального обслуживания населения «Верь в себя!» организован оздоровительный лагерь с дневным пребыванием (для детей с ограниченными возможностями) «Югорские каникулы», в котором в период ле</w:t>
      </w:r>
      <w:r w:rsidR="001440F5">
        <w:rPr>
          <w:sz w:val="24"/>
          <w:szCs w:val="24"/>
          <w:lang w:eastAsia="en-US"/>
        </w:rPr>
        <w:t>тних каникул отдохнули 60 детей.</w:t>
      </w:r>
      <w:proofErr w:type="gramEnd"/>
    </w:p>
    <w:p w:rsidR="00BC2297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Целевые показатели программы по организации отдыха детей на территории города Югорска и за его пределами выполнены в полном объеме.</w:t>
      </w:r>
    </w:p>
    <w:p w:rsidR="001440F5" w:rsidRPr="006C7155" w:rsidRDefault="001440F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Говоря о результативности </w:t>
      </w:r>
      <w:r w:rsidR="006C7155" w:rsidRPr="006C7155">
        <w:rPr>
          <w:rFonts w:ascii="Times New Roman" w:hAnsi="Times New Roman" w:cs="Times New Roman"/>
          <w:sz w:val="24"/>
          <w:szCs w:val="24"/>
        </w:rPr>
        <w:t>при организации отдыха и оздоровления детей</w:t>
      </w:r>
      <w:r w:rsidRPr="006C7155">
        <w:rPr>
          <w:rFonts w:ascii="Times New Roman" w:hAnsi="Times New Roman" w:cs="Times New Roman"/>
          <w:sz w:val="24"/>
          <w:szCs w:val="24"/>
        </w:rPr>
        <w:t>,  стоит отметить ряд позитивных моментов: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полное отсутствие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- транспортных происшествий с детьми, отдыхающих в составе организованных групп;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p w:rsidR="00393213" w:rsidRDefault="00393213" w:rsidP="00393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55" w:rsidRPr="00F06D39" w:rsidRDefault="00F06D39" w:rsidP="00F06D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D39">
        <w:rPr>
          <w:rFonts w:ascii="Times New Roman" w:hAnsi="Times New Roman" w:cs="Times New Roman"/>
          <w:b/>
          <w:i/>
          <w:sz w:val="24"/>
          <w:szCs w:val="24"/>
        </w:rPr>
        <w:t>Работа с детьми и молодежью</w:t>
      </w:r>
    </w:p>
    <w:p w:rsidR="006C7155" w:rsidRDefault="006C7155" w:rsidP="00393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Реализация молодежной политики в городе является одной из важнейших составляющих социально-экономической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Основными целями реализации мероприятий в сфере работы с детьми и молодежью в городе Югорске являются: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 xml:space="preserve">1) повышение эффективности реализации молодежной политики в интересах социально </w:t>
      </w:r>
      <w:proofErr w:type="gramStart"/>
      <w:r w:rsidRPr="00F06D39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F06D39">
        <w:rPr>
          <w:rFonts w:ascii="Times New Roman" w:hAnsi="Times New Roman" w:cs="Times New Roman"/>
          <w:sz w:val="24"/>
          <w:szCs w:val="24"/>
        </w:rPr>
        <w:t xml:space="preserve"> развития города, которое достигаются за счет: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 xml:space="preserve"> - поддержки талантливой молодежи, молодежных инициатив;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гражданского становления и патриотического воспитания молодежи;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пропаганды здорового образа жизни, организации досуга молодежи;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eastAsia="Arial Unicode MS" w:hAnsi="Times New Roman" w:cs="Times New Roman"/>
          <w:bCs/>
          <w:kern w:val="2"/>
          <w:sz w:val="24"/>
          <w:szCs w:val="24"/>
          <w:lang w:bidi="en-US"/>
        </w:rPr>
        <w:t>- поддержки деятельности молодежных общественных объединений и волонтерского движения в городе;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поддержки молодых семей, популяризации семейных ценностей.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lastRenderedPageBreak/>
        <w:t>2) развитие эффективной комплексной системы организации временного трудоустройства в городе Югорске.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39">
        <w:rPr>
          <w:rFonts w:ascii="Times New Roman" w:hAnsi="Times New Roman" w:cs="Times New Roman"/>
          <w:sz w:val="24"/>
          <w:szCs w:val="24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была разработана и реализовывалась муниципальная программа города Югорска «Реализация молодежной политики и организация временного трудоустройства в городе Югорске на 2014 – 2020 годы», в которой были определены основные приоритеты развития сферы на ближайший период. </w:t>
      </w:r>
      <w:proofErr w:type="gramEnd"/>
    </w:p>
    <w:p w:rsid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 xml:space="preserve">В рамках первого направления </w:t>
      </w:r>
      <w:r w:rsidRPr="00E25CB6">
        <w:rPr>
          <w:rFonts w:ascii="Times New Roman" w:hAnsi="Times New Roman" w:cs="Times New Roman"/>
          <w:b/>
          <w:sz w:val="24"/>
          <w:szCs w:val="24"/>
        </w:rPr>
        <w:t>программы «Молодежь города Югорска»</w:t>
      </w:r>
      <w:r w:rsidRPr="00F0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39">
        <w:rPr>
          <w:rFonts w:ascii="Times New Roman" w:hAnsi="Times New Roman" w:cs="Times New Roman"/>
          <w:sz w:val="24"/>
          <w:szCs w:val="24"/>
        </w:rPr>
        <w:t xml:space="preserve">предусмотрена поддержка деятельности молодежных общественных объединений, талантливой молодежи, развитие </w:t>
      </w:r>
      <w:proofErr w:type="spellStart"/>
      <w:r w:rsidRPr="00F06D3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06D39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E25CB6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B6" w:rsidRPr="00780130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E25CB6" w:rsidRPr="00ED0C57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E25CB6" w:rsidRPr="00DA575A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E25CB6" w:rsidRPr="00F06D39" w:rsidRDefault="00E25CB6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F12" w:rsidRPr="0062312F" w:rsidRDefault="00103F12" w:rsidP="00103F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312F">
        <w:rPr>
          <w:rFonts w:eastAsia="Calibri"/>
          <w:sz w:val="24"/>
          <w:szCs w:val="24"/>
          <w:lang w:eastAsia="en-US"/>
        </w:rPr>
        <w:t xml:space="preserve">На территории города Югорска общественную деятельность осуществляют </w:t>
      </w:r>
      <w:r w:rsidRPr="005A2C6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6</w:t>
      </w:r>
      <w:r w:rsidRPr="0062312F">
        <w:rPr>
          <w:rFonts w:eastAsia="Calibri"/>
          <w:sz w:val="24"/>
          <w:szCs w:val="24"/>
          <w:lang w:eastAsia="en-US"/>
        </w:rPr>
        <w:t xml:space="preserve"> общественных объединений</w:t>
      </w:r>
      <w:r>
        <w:rPr>
          <w:rFonts w:eastAsia="Calibri"/>
          <w:sz w:val="24"/>
          <w:szCs w:val="24"/>
          <w:lang w:eastAsia="en-US"/>
        </w:rPr>
        <w:t xml:space="preserve"> с  количеством участников </w:t>
      </w:r>
      <w:r w:rsidRPr="0062312F">
        <w:rPr>
          <w:rFonts w:eastAsia="Calibri"/>
          <w:sz w:val="24"/>
          <w:szCs w:val="24"/>
          <w:lang w:eastAsia="en-US"/>
        </w:rPr>
        <w:t xml:space="preserve"> 1 800 человек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Arial"/>
          <w:sz w:val="24"/>
          <w:szCs w:val="24"/>
        </w:rPr>
        <w:t>(в 4ом квартале из реестра было исключено школьное добровольческое (волонтерское) объединение «Феникс» МБУДОД ДЮЦ «Прометей»)</w:t>
      </w:r>
      <w:r w:rsidRPr="0062312F">
        <w:rPr>
          <w:rFonts w:eastAsia="Calibri"/>
          <w:sz w:val="24"/>
          <w:szCs w:val="24"/>
          <w:lang w:eastAsia="en-US"/>
        </w:rPr>
        <w:t>.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</w:p>
    <w:p w:rsidR="00103F12" w:rsidRPr="00B73F9E" w:rsidRDefault="00103F12" w:rsidP="00103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103F12" w:rsidRDefault="00103F12" w:rsidP="00103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103F12" w:rsidRDefault="00103F12" w:rsidP="00103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Одним из направлений молодежной политики  является создание условий для развития патриотических качеств молодежи.</w:t>
      </w:r>
    </w:p>
    <w:p w:rsidR="00103F12" w:rsidRPr="00B73F9E" w:rsidRDefault="00103F12" w:rsidP="00103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103F12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</w:p>
    <w:p w:rsidR="00103F12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В течение отч</w:t>
      </w:r>
      <w:r>
        <w:rPr>
          <w:rFonts w:eastAsia="Arial"/>
          <w:sz w:val="24"/>
          <w:szCs w:val="24"/>
        </w:rPr>
        <w:t>етного периода было проведено 99 мероприятий</w:t>
      </w:r>
      <w:r w:rsidRPr="0062312F">
        <w:rPr>
          <w:rFonts w:eastAsia="Arial"/>
          <w:sz w:val="24"/>
          <w:szCs w:val="24"/>
        </w:rPr>
        <w:t xml:space="preserve"> различной направленно</w:t>
      </w:r>
      <w:r>
        <w:rPr>
          <w:rFonts w:eastAsia="Arial"/>
          <w:sz w:val="24"/>
          <w:szCs w:val="24"/>
        </w:rPr>
        <w:t xml:space="preserve">сти (за 2018 год </w:t>
      </w:r>
      <w:r w:rsidRPr="005A4BCA">
        <w:rPr>
          <w:rFonts w:eastAsia="Arial"/>
          <w:sz w:val="24"/>
          <w:szCs w:val="24"/>
        </w:rPr>
        <w:t>- 58</w:t>
      </w:r>
      <w:r w:rsidRPr="0062312F">
        <w:rPr>
          <w:rFonts w:eastAsia="Arial"/>
          <w:sz w:val="24"/>
          <w:szCs w:val="24"/>
        </w:rPr>
        <w:t xml:space="preserve"> мероприяти</w:t>
      </w:r>
      <w:r>
        <w:rPr>
          <w:rFonts w:eastAsia="Arial"/>
          <w:sz w:val="24"/>
          <w:szCs w:val="24"/>
        </w:rPr>
        <w:t>й</w:t>
      </w:r>
      <w:r w:rsidRPr="0062312F">
        <w:rPr>
          <w:rFonts w:eastAsia="Arial"/>
          <w:sz w:val="24"/>
          <w:szCs w:val="24"/>
        </w:rPr>
        <w:t xml:space="preserve">), в том числе: 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- </w:t>
      </w:r>
      <w:r w:rsidRPr="0062312F">
        <w:rPr>
          <w:rFonts w:eastAsia="Arial"/>
          <w:sz w:val="24"/>
          <w:szCs w:val="24"/>
        </w:rPr>
        <w:t>муниципальные этапы окружных конкурсов «Семья -</w:t>
      </w:r>
      <w:r>
        <w:rPr>
          <w:rFonts w:eastAsia="Arial"/>
          <w:sz w:val="24"/>
          <w:szCs w:val="24"/>
        </w:rPr>
        <w:t xml:space="preserve"> основа</w:t>
      </w:r>
      <w:r w:rsidRPr="0062312F">
        <w:rPr>
          <w:rFonts w:eastAsia="Arial"/>
          <w:sz w:val="24"/>
          <w:szCs w:val="24"/>
        </w:rPr>
        <w:t xml:space="preserve"> государства» и «Семья года Югры»</w:t>
      </w:r>
      <w:r>
        <w:rPr>
          <w:rFonts w:eastAsia="Arial"/>
          <w:sz w:val="24"/>
          <w:szCs w:val="24"/>
        </w:rPr>
        <w:t>;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12F">
        <w:rPr>
          <w:sz w:val="24"/>
          <w:szCs w:val="24"/>
        </w:rPr>
        <w:t>городская экологическая акция по оказанию помощи бездомным животным «В Добрые руки»</w:t>
      </w:r>
      <w:r>
        <w:rPr>
          <w:sz w:val="24"/>
          <w:szCs w:val="24"/>
        </w:rPr>
        <w:t>;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2312F">
        <w:rPr>
          <w:sz w:val="24"/>
          <w:szCs w:val="24"/>
        </w:rPr>
        <w:t>флэшмоб</w:t>
      </w:r>
      <w:proofErr w:type="spellEnd"/>
      <w:r w:rsidRPr="0062312F">
        <w:rPr>
          <w:sz w:val="24"/>
          <w:szCs w:val="24"/>
        </w:rPr>
        <w:t xml:space="preserve"> «Крымская весна»</w:t>
      </w:r>
      <w:r>
        <w:rPr>
          <w:sz w:val="24"/>
          <w:szCs w:val="24"/>
        </w:rPr>
        <w:t>;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312F">
        <w:rPr>
          <w:sz w:val="24"/>
          <w:szCs w:val="24"/>
        </w:rPr>
        <w:t xml:space="preserve">комплексы мероприятий, посвященные празднованию </w:t>
      </w:r>
      <w:r>
        <w:rPr>
          <w:sz w:val="24"/>
          <w:szCs w:val="24"/>
        </w:rPr>
        <w:t>«</w:t>
      </w:r>
      <w:r w:rsidRPr="0062312F">
        <w:rPr>
          <w:sz w:val="24"/>
          <w:szCs w:val="24"/>
        </w:rPr>
        <w:t>Дня Победы</w:t>
      </w:r>
      <w:r>
        <w:rPr>
          <w:sz w:val="24"/>
          <w:szCs w:val="24"/>
        </w:rPr>
        <w:t xml:space="preserve"> в Великой Отечественной войне»</w:t>
      </w:r>
      <w:r w:rsidRPr="0062312F">
        <w:rPr>
          <w:sz w:val="24"/>
          <w:szCs w:val="24"/>
        </w:rPr>
        <w:t>,</w:t>
      </w:r>
      <w:r>
        <w:rPr>
          <w:sz w:val="24"/>
          <w:szCs w:val="24"/>
        </w:rPr>
        <w:t xml:space="preserve"> «Дня защиты детей», «Дня молодежи», «Дня государственного флага Российской Федерации», «Дня солидарности борьбы с терроризмом», «Дня семьи, любви и верности», 5-ый </w:t>
      </w:r>
      <w:proofErr w:type="spellStart"/>
      <w:r>
        <w:rPr>
          <w:sz w:val="24"/>
          <w:szCs w:val="24"/>
        </w:rPr>
        <w:t>Мотофестиваль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Взлетка</w:t>
      </w:r>
      <w:proofErr w:type="spellEnd"/>
      <w:r>
        <w:rPr>
          <w:sz w:val="24"/>
          <w:szCs w:val="24"/>
        </w:rPr>
        <w:t xml:space="preserve">», «День матери», «День призывника». </w:t>
      </w:r>
    </w:p>
    <w:p w:rsidR="00103F12" w:rsidRDefault="00103F12" w:rsidP="00103F12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в 2019 году были организованы и проведены такие мероприятия, как:</w:t>
      </w:r>
    </w:p>
    <w:p w:rsidR="00103F12" w:rsidRDefault="00103F12" w:rsidP="00103F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</w:t>
      </w:r>
      <w:r>
        <w:rPr>
          <w:rFonts w:eastAsia="Calibri"/>
          <w:sz w:val="24"/>
          <w:szCs w:val="24"/>
          <w:lang w:eastAsia="en-US"/>
        </w:rPr>
        <w:t>ремия главы города Югорска в целях поощрения и поддержки талантливой молодежи;</w:t>
      </w:r>
    </w:p>
    <w:p w:rsidR="00103F12" w:rsidRDefault="00103F12" w:rsidP="00103F12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семейный бал «Югорский вальс».</w:t>
      </w:r>
    </w:p>
    <w:p w:rsidR="00103F12" w:rsidRPr="0062312F" w:rsidRDefault="00103F12" w:rsidP="00103F12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62312F">
        <w:rPr>
          <w:rFonts w:eastAsia="Calibri"/>
          <w:sz w:val="24"/>
          <w:szCs w:val="24"/>
        </w:rPr>
        <w:t>Общий охват молодежи, участвующих</w:t>
      </w:r>
      <w:r>
        <w:rPr>
          <w:rFonts w:eastAsia="Calibri"/>
          <w:sz w:val="24"/>
          <w:szCs w:val="24"/>
        </w:rPr>
        <w:t xml:space="preserve"> в мероприятиях, составил </w:t>
      </w:r>
      <w:r w:rsidRPr="002907BA">
        <w:rPr>
          <w:rFonts w:eastAsia="Calibri"/>
          <w:sz w:val="24"/>
          <w:szCs w:val="24"/>
        </w:rPr>
        <w:t>19 332 человек</w:t>
      </w:r>
      <w:r w:rsidRPr="0062312F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за </w:t>
      </w:r>
      <w:r w:rsidRPr="0062312F">
        <w:rPr>
          <w:rFonts w:eastAsia="Arial"/>
          <w:sz w:val="24"/>
          <w:szCs w:val="24"/>
        </w:rPr>
        <w:t xml:space="preserve"> 2018 год </w:t>
      </w:r>
      <w:r>
        <w:rPr>
          <w:rFonts w:eastAsia="Arial"/>
          <w:sz w:val="24"/>
          <w:szCs w:val="24"/>
        </w:rPr>
        <w:t xml:space="preserve">- </w:t>
      </w:r>
      <w:r>
        <w:rPr>
          <w:sz w:val="24"/>
          <w:szCs w:val="24"/>
        </w:rPr>
        <w:t>12 223 человек</w:t>
      </w:r>
      <w:r w:rsidRPr="0062312F">
        <w:rPr>
          <w:rFonts w:eastAsia="Calibri"/>
          <w:sz w:val="24"/>
          <w:szCs w:val="24"/>
        </w:rPr>
        <w:t>).</w:t>
      </w:r>
    </w:p>
    <w:p w:rsidR="00103F12" w:rsidRPr="00B028D6" w:rsidRDefault="00103F12" w:rsidP="00103F12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регионального проекта «Социальная активность» национального проекта «Образование» </w:t>
      </w:r>
      <w:r w:rsidRPr="00B028D6">
        <w:rPr>
          <w:sz w:val="24"/>
          <w:szCs w:val="24"/>
          <w:lang w:eastAsia="ru-RU"/>
        </w:rPr>
        <w:t>утвержден План мероприятий («дорожная карта») по развитию добровольческого движения в городе Югорске до 2020 года</w:t>
      </w:r>
      <w:r>
        <w:rPr>
          <w:sz w:val="24"/>
          <w:szCs w:val="24"/>
          <w:lang w:eastAsia="ru-RU"/>
        </w:rPr>
        <w:t>, з</w:t>
      </w:r>
      <w:r w:rsidRPr="00B028D6">
        <w:rPr>
          <w:sz w:val="24"/>
          <w:szCs w:val="24"/>
          <w:lang w:eastAsia="ru-RU"/>
        </w:rPr>
        <w:t xml:space="preserve">аключены </w:t>
      </w:r>
      <w:r>
        <w:rPr>
          <w:sz w:val="24"/>
          <w:szCs w:val="24"/>
          <w:lang w:eastAsia="ru-RU"/>
        </w:rPr>
        <w:t>соглашения с муниципальным Штабом</w:t>
      </w:r>
      <w:r w:rsidRPr="00B028D6">
        <w:rPr>
          <w:sz w:val="24"/>
          <w:szCs w:val="24"/>
          <w:lang w:eastAsia="ru-RU"/>
        </w:rPr>
        <w:t xml:space="preserve"> по развитию д</w:t>
      </w:r>
      <w:r>
        <w:rPr>
          <w:sz w:val="24"/>
          <w:szCs w:val="24"/>
          <w:lang w:eastAsia="ru-RU"/>
        </w:rPr>
        <w:t xml:space="preserve">обровольчества в городе Югорске, </w:t>
      </w:r>
      <w:r w:rsidRPr="00B028D6">
        <w:rPr>
          <w:sz w:val="24"/>
          <w:szCs w:val="24"/>
          <w:lang w:eastAsia="ru-RU"/>
        </w:rPr>
        <w:t>муниципальным штабом «Волонтеры Победы» города Югорска</w:t>
      </w:r>
      <w:r>
        <w:rPr>
          <w:sz w:val="24"/>
          <w:szCs w:val="24"/>
          <w:lang w:eastAsia="ru-RU"/>
        </w:rPr>
        <w:t xml:space="preserve">. Подписано соглашение </w:t>
      </w:r>
      <w:r w:rsidRPr="00B028D6">
        <w:rPr>
          <w:sz w:val="24"/>
          <w:szCs w:val="24"/>
          <w:lang w:eastAsia="ru-RU"/>
        </w:rPr>
        <w:t>о сотрудничестве между муниципальным штабом «Волонтеры Победы» города Югорска и Югорской городской общественной организацией ветеранов Великой Отечественной войны, ветеранов труда (пен</w:t>
      </w:r>
      <w:r>
        <w:rPr>
          <w:sz w:val="24"/>
          <w:szCs w:val="24"/>
          <w:lang w:eastAsia="ru-RU"/>
        </w:rPr>
        <w:t>сионеров).</w:t>
      </w:r>
    </w:p>
    <w:p w:rsidR="00103F12" w:rsidRPr="004E7B2B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4E7B2B">
        <w:rPr>
          <w:sz w:val="24"/>
          <w:szCs w:val="24"/>
          <w:lang w:eastAsia="ru-RU"/>
        </w:rPr>
        <w:t>Проведено 3 совещания для руководителей и членов добровольческих (волонтерских) организаций, в которых приняли участие 74 человека.</w:t>
      </w:r>
    </w:p>
    <w:p w:rsidR="00103F12" w:rsidRPr="004E7B2B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4E7B2B">
        <w:rPr>
          <w:sz w:val="24"/>
          <w:szCs w:val="24"/>
          <w:lang w:eastAsia="ru-RU"/>
        </w:rPr>
        <w:t>В течение года активно проводится работа по регистрации волонтеров города в информационной сети «Доброволец России». В социальных сетях Отдела молодежных инициатив МАУ «Молодежный центр «Гелиос» созданы группы волонтеров: 4 группы, общее количество участников - 957 человек.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ab/>
        <w:t xml:space="preserve">На территории города добровольцами реализуются добровольческие проекты: 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>- проект «Благодари судьб</w:t>
      </w:r>
      <w:r>
        <w:rPr>
          <w:sz w:val="24"/>
          <w:szCs w:val="24"/>
          <w:lang w:eastAsia="ru-RU"/>
        </w:rPr>
        <w:t>у, что это не твое место», который</w:t>
      </w:r>
      <w:r w:rsidRPr="00B028D6">
        <w:rPr>
          <w:sz w:val="24"/>
          <w:szCs w:val="24"/>
          <w:lang w:eastAsia="ru-RU"/>
        </w:rPr>
        <w:t xml:space="preserve"> обращает внимание  общественности на проблемы стоянок для людей с ограниченными возможностями здоровья, прививает  культуру вождения и уважения к людям с огран</w:t>
      </w:r>
      <w:r>
        <w:rPr>
          <w:sz w:val="24"/>
          <w:szCs w:val="24"/>
          <w:lang w:eastAsia="ru-RU"/>
        </w:rPr>
        <w:t>иченными возможностями здоровья;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>- проект «Семейный фестиваль «Брусника», направленный на воспитание и пропаганду семейных ценностей;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>- проект «Бегущие сандалии», направлен на пропаганду здорового образа жизни, детский легкоатлетический забег, возраст участников от 5 до 14 лет;</w:t>
      </w:r>
    </w:p>
    <w:p w:rsidR="00103F12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 xml:space="preserve">- проект «IT все возрасты покорны: организация волонтерским объединением курсов по </w:t>
      </w:r>
      <w:proofErr w:type="spellStart"/>
      <w:r w:rsidRPr="00B028D6">
        <w:rPr>
          <w:sz w:val="24"/>
          <w:szCs w:val="24"/>
          <w:lang w:eastAsia="ru-RU"/>
        </w:rPr>
        <w:t>кибербезопасности</w:t>
      </w:r>
      <w:proofErr w:type="spellEnd"/>
      <w:r w:rsidRPr="00B028D6">
        <w:rPr>
          <w:sz w:val="24"/>
          <w:szCs w:val="24"/>
          <w:lang w:eastAsia="ru-RU"/>
        </w:rPr>
        <w:t xml:space="preserve">  для старшего поколения»»</w:t>
      </w:r>
    </w:p>
    <w:p w:rsidR="00103F12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«Цифровой волонтер»;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оказание адресной помощи. </w:t>
      </w:r>
    </w:p>
    <w:p w:rsidR="00103F12" w:rsidRPr="00B028D6" w:rsidRDefault="00103F12" w:rsidP="00103F12">
      <w:pPr>
        <w:spacing w:line="259" w:lineRule="auto"/>
        <w:ind w:firstLine="567"/>
        <w:jc w:val="both"/>
        <w:rPr>
          <w:sz w:val="24"/>
          <w:szCs w:val="24"/>
          <w:lang w:eastAsia="ru-RU"/>
        </w:rPr>
      </w:pPr>
      <w:r w:rsidRPr="00B028D6">
        <w:rPr>
          <w:sz w:val="24"/>
          <w:szCs w:val="24"/>
          <w:lang w:eastAsia="ru-RU"/>
        </w:rPr>
        <w:t xml:space="preserve">В 2019 году </w:t>
      </w:r>
      <w:r>
        <w:rPr>
          <w:sz w:val="24"/>
          <w:szCs w:val="24"/>
          <w:lang w:eastAsia="ru-RU"/>
        </w:rPr>
        <w:t>начата</w:t>
      </w:r>
      <w:r w:rsidRPr="00B028D6">
        <w:rPr>
          <w:sz w:val="24"/>
          <w:szCs w:val="24"/>
          <w:lang w:eastAsia="ru-RU"/>
        </w:rPr>
        <w:t xml:space="preserve"> подготовка к созданию ресурсного центра развития и поддержки добровольчества (волонтерства) в городе Югорске на базе отдела молодежных инициатив муниципального автономного учреждения «Молодежный центр «Гелиос».</w:t>
      </w:r>
    </w:p>
    <w:p w:rsidR="00103F12" w:rsidRDefault="00103F12" w:rsidP="00103F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F12" w:rsidRPr="001906B9" w:rsidRDefault="00103F12" w:rsidP="00103F12">
      <w:pPr>
        <w:pStyle w:val="a3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906B9">
        <w:rPr>
          <w:rFonts w:ascii="Times New Roman" w:eastAsia="Arial" w:hAnsi="Times New Roman" w:cs="Times New Roman"/>
          <w:sz w:val="24"/>
          <w:szCs w:val="24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  <w:proofErr w:type="gramEnd"/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2" w:rsidRDefault="00103F12" w:rsidP="00103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B9" w:rsidRPr="001906B9" w:rsidRDefault="001906B9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B9">
        <w:rPr>
          <w:rFonts w:ascii="Times New Roman" w:hAnsi="Times New Roman" w:cs="Times New Roman"/>
          <w:b/>
          <w:sz w:val="24"/>
          <w:szCs w:val="24"/>
        </w:rPr>
        <w:lastRenderedPageBreak/>
        <w:t>Задача 2.</w:t>
      </w:r>
    </w:p>
    <w:p w:rsidR="00ED0C57" w:rsidRPr="00103F12" w:rsidRDefault="001906B9" w:rsidP="001906B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F12">
        <w:rPr>
          <w:rFonts w:ascii="Times New Roman" w:hAnsi="Times New Roman" w:cs="Times New Roman"/>
          <w:sz w:val="24"/>
          <w:szCs w:val="24"/>
          <w:u w:val="single"/>
        </w:rPr>
        <w:t>Организационное,</w:t>
      </w:r>
      <w:r w:rsidR="00ED0C57" w:rsidRPr="00103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3F12">
        <w:rPr>
          <w:rFonts w:ascii="Times New Roman" w:hAnsi="Times New Roman" w:cs="Times New Roman"/>
          <w:sz w:val="24"/>
          <w:szCs w:val="24"/>
          <w:u w:val="single"/>
        </w:rPr>
        <w:t>материально – техническое</w:t>
      </w:r>
    </w:p>
    <w:p w:rsidR="001906B9" w:rsidRPr="00103F12" w:rsidRDefault="001906B9" w:rsidP="001906B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F12">
        <w:rPr>
          <w:rFonts w:ascii="Times New Roman" w:hAnsi="Times New Roman" w:cs="Times New Roman"/>
          <w:sz w:val="24"/>
          <w:szCs w:val="24"/>
          <w:u w:val="single"/>
        </w:rPr>
        <w:t xml:space="preserve"> и информационное обеспечение реализации муниципальной программы.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Pr="0095419A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ьтатах.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1906B9" w:rsidRPr="0095419A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</w:t>
      </w:r>
      <w:r>
        <w:rPr>
          <w:rFonts w:ascii="Times New Roman" w:hAnsi="Times New Roman" w:cs="Times New Roman"/>
          <w:sz w:val="24"/>
          <w:szCs w:val="24"/>
        </w:rPr>
        <w:t>о досуга подростков и молодежи.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задачи 2 муниципальной программы, предусмотрена реализация мероприятий, направленных на достижение вышеуказанных целей, через систему пропаганды (информационное сопровождение), обеспечение деятельности муниципального автономного учреждения «Молодежный центр «Г</w:t>
      </w:r>
      <w:r w:rsidR="00CA175F">
        <w:rPr>
          <w:rFonts w:ascii="Times New Roman" w:hAnsi="Times New Roman" w:cs="Times New Roman"/>
          <w:sz w:val="24"/>
          <w:szCs w:val="24"/>
        </w:rPr>
        <w:t>елиос»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1D">
        <w:rPr>
          <w:rFonts w:ascii="Times New Roman" w:hAnsi="Times New Roman" w:cs="Times New Roman"/>
          <w:sz w:val="24"/>
          <w:szCs w:val="24"/>
        </w:rPr>
        <w:t>и эффективного обеспечения функций Управления.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судить по достигнутым итогам 201</w:t>
      </w:r>
      <w:r w:rsidR="00103F12">
        <w:rPr>
          <w:rFonts w:ascii="Times New Roman" w:hAnsi="Times New Roman" w:cs="Times New Roman"/>
          <w:sz w:val="24"/>
          <w:szCs w:val="24"/>
        </w:rPr>
        <w:t>9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B2CF3" w:rsidRPr="004B2CF3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 xml:space="preserve">- </w:t>
      </w:r>
      <w:r w:rsidR="00F02285" w:rsidRPr="004B2CF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B2CF3" w:rsidRPr="004B2CF3">
        <w:rPr>
          <w:rFonts w:ascii="Times New Roman" w:hAnsi="Times New Roman" w:cs="Times New Roman"/>
          <w:sz w:val="24"/>
          <w:szCs w:val="24"/>
        </w:rPr>
        <w:t>доли населения города Югорска, задействованного в мероприятиях по молодежной политике, в общей численности населения на 1,1% к АППГ;</w:t>
      </w:r>
    </w:p>
    <w:p w:rsidR="004B2CF3" w:rsidRPr="004B2CF3" w:rsidRDefault="004B2CF3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>- увеличение количества молодежи в возрасте 14 – 30 лет, задействованного в мероприятиях общественных объединений с 1 650 до 1 800 человек;</w:t>
      </w:r>
    </w:p>
    <w:p w:rsidR="001906B9" w:rsidRPr="004B2CF3" w:rsidRDefault="004B2CF3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1906B9" w:rsidRPr="004B2CF3">
        <w:rPr>
          <w:rFonts w:ascii="Times New Roman" w:hAnsi="Times New Roman" w:cs="Times New Roman"/>
          <w:sz w:val="24"/>
          <w:szCs w:val="24"/>
        </w:rPr>
        <w:t>количества социально - значимых проектов, заявленных на конкурсы различного уровня</w:t>
      </w:r>
      <w:r w:rsidR="00F02285" w:rsidRPr="004B2CF3">
        <w:rPr>
          <w:rFonts w:ascii="Times New Roman" w:hAnsi="Times New Roman" w:cs="Times New Roman"/>
          <w:sz w:val="24"/>
          <w:szCs w:val="24"/>
        </w:rPr>
        <w:t xml:space="preserve"> к АППГ на 1шт., 201</w:t>
      </w:r>
      <w:r w:rsidRPr="004B2CF3">
        <w:rPr>
          <w:rFonts w:ascii="Times New Roman" w:hAnsi="Times New Roman" w:cs="Times New Roman"/>
          <w:sz w:val="24"/>
          <w:szCs w:val="24"/>
        </w:rPr>
        <w:t>8</w:t>
      </w:r>
      <w:r w:rsidR="00F02285" w:rsidRPr="004B2CF3">
        <w:rPr>
          <w:rFonts w:ascii="Times New Roman" w:hAnsi="Times New Roman" w:cs="Times New Roman"/>
          <w:sz w:val="24"/>
          <w:szCs w:val="24"/>
        </w:rPr>
        <w:t xml:space="preserve"> – 3</w:t>
      </w:r>
      <w:r w:rsidRPr="004B2CF3">
        <w:rPr>
          <w:rFonts w:ascii="Times New Roman" w:hAnsi="Times New Roman" w:cs="Times New Roman"/>
          <w:sz w:val="24"/>
          <w:szCs w:val="24"/>
        </w:rPr>
        <w:t>5</w:t>
      </w:r>
      <w:r w:rsidR="00F02285" w:rsidRPr="004B2CF3">
        <w:rPr>
          <w:rFonts w:ascii="Times New Roman" w:hAnsi="Times New Roman" w:cs="Times New Roman"/>
          <w:sz w:val="24"/>
          <w:szCs w:val="24"/>
        </w:rPr>
        <w:t>шт., 201</w:t>
      </w:r>
      <w:r w:rsidRPr="004B2CF3">
        <w:rPr>
          <w:rFonts w:ascii="Times New Roman" w:hAnsi="Times New Roman" w:cs="Times New Roman"/>
          <w:sz w:val="24"/>
          <w:szCs w:val="24"/>
        </w:rPr>
        <w:t>9</w:t>
      </w:r>
      <w:r w:rsidR="00F02285" w:rsidRPr="004B2CF3">
        <w:rPr>
          <w:rFonts w:ascii="Times New Roman" w:hAnsi="Times New Roman" w:cs="Times New Roman"/>
          <w:sz w:val="24"/>
          <w:szCs w:val="24"/>
        </w:rPr>
        <w:t xml:space="preserve"> – 3</w:t>
      </w:r>
      <w:r w:rsidRPr="004B2CF3">
        <w:rPr>
          <w:rFonts w:ascii="Times New Roman" w:hAnsi="Times New Roman" w:cs="Times New Roman"/>
          <w:sz w:val="24"/>
          <w:szCs w:val="24"/>
        </w:rPr>
        <w:t>6</w:t>
      </w:r>
      <w:r w:rsidR="00F02285" w:rsidRPr="004B2CF3">
        <w:rPr>
          <w:rFonts w:ascii="Times New Roman" w:hAnsi="Times New Roman" w:cs="Times New Roman"/>
          <w:sz w:val="24"/>
          <w:szCs w:val="24"/>
        </w:rPr>
        <w:t>шт.</w:t>
      </w:r>
      <w:r w:rsidR="001906B9" w:rsidRPr="004B2CF3">
        <w:rPr>
          <w:rFonts w:ascii="Times New Roman" w:hAnsi="Times New Roman" w:cs="Times New Roman"/>
          <w:sz w:val="24"/>
          <w:szCs w:val="24"/>
        </w:rPr>
        <w:t>;</w:t>
      </w:r>
    </w:p>
    <w:p w:rsidR="001906B9" w:rsidRPr="004B2CF3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>- сохранение количества молодых людей, вовлеченных в реализуемые проекты и программы в сфере поддержки талантливой молодежи;</w:t>
      </w:r>
    </w:p>
    <w:p w:rsidR="001906B9" w:rsidRPr="004B2CF3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 xml:space="preserve">- </w:t>
      </w:r>
      <w:r w:rsidR="004B2CF3" w:rsidRPr="004B2CF3">
        <w:rPr>
          <w:rFonts w:ascii="Times New Roman" w:hAnsi="Times New Roman" w:cs="Times New Roman"/>
          <w:sz w:val="24"/>
          <w:szCs w:val="24"/>
        </w:rPr>
        <w:t>увеличение</w:t>
      </w:r>
      <w:r w:rsidR="009A501D" w:rsidRPr="004B2CF3">
        <w:rPr>
          <w:rFonts w:ascii="Times New Roman" w:hAnsi="Times New Roman" w:cs="Times New Roman"/>
          <w:sz w:val="24"/>
          <w:szCs w:val="24"/>
        </w:rPr>
        <w:t xml:space="preserve"> </w:t>
      </w:r>
      <w:r w:rsidRPr="004B2CF3">
        <w:rPr>
          <w:rFonts w:ascii="Times New Roman" w:hAnsi="Times New Roman" w:cs="Times New Roman"/>
          <w:sz w:val="24"/>
          <w:szCs w:val="24"/>
        </w:rPr>
        <w:t>количеств</w:t>
      </w:r>
      <w:r w:rsidR="009A501D" w:rsidRPr="004B2CF3">
        <w:rPr>
          <w:rFonts w:ascii="Times New Roman" w:hAnsi="Times New Roman" w:cs="Times New Roman"/>
          <w:sz w:val="24"/>
          <w:szCs w:val="24"/>
        </w:rPr>
        <w:t>а</w:t>
      </w:r>
      <w:r w:rsidRPr="004B2CF3">
        <w:rPr>
          <w:rFonts w:ascii="Times New Roman" w:hAnsi="Times New Roman" w:cs="Times New Roman"/>
          <w:sz w:val="24"/>
          <w:szCs w:val="24"/>
        </w:rPr>
        <w:t xml:space="preserve"> молодых людей, вовлеченных в </w:t>
      </w:r>
      <w:r w:rsidR="004B2CF3" w:rsidRPr="004B2CF3">
        <w:rPr>
          <w:rFonts w:ascii="Times New Roman" w:hAnsi="Times New Roman" w:cs="Times New Roman"/>
          <w:sz w:val="24"/>
          <w:szCs w:val="24"/>
        </w:rPr>
        <w:t>реализуемые проекты и программы в сфере молодежной политики с 5 300 до 5 457 человек;</w:t>
      </w:r>
    </w:p>
    <w:p w:rsidR="004B2CF3" w:rsidRPr="004B2CF3" w:rsidRDefault="004B2CF3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 xml:space="preserve">- увеличение количества трудоустроенных граждан, признанных установленном </w:t>
      </w:r>
      <w:proofErr w:type="gramStart"/>
      <w:r w:rsidRPr="004B2CF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B2CF3">
        <w:rPr>
          <w:rFonts w:ascii="Times New Roman" w:hAnsi="Times New Roman" w:cs="Times New Roman"/>
          <w:sz w:val="24"/>
          <w:szCs w:val="24"/>
        </w:rPr>
        <w:t xml:space="preserve"> безработными на 20,0%;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F3">
        <w:rPr>
          <w:rFonts w:ascii="Times New Roman" w:hAnsi="Times New Roman" w:cs="Times New Roman"/>
          <w:sz w:val="24"/>
          <w:szCs w:val="24"/>
        </w:rPr>
        <w:t xml:space="preserve">- сохранение </w:t>
      </w:r>
      <w:r w:rsidR="004B2CF3" w:rsidRPr="004B2CF3">
        <w:rPr>
          <w:rFonts w:ascii="Times New Roman" w:hAnsi="Times New Roman" w:cs="Times New Roman"/>
          <w:sz w:val="24"/>
          <w:szCs w:val="24"/>
        </w:rPr>
        <w:t>объемов выполнения муниципального задания подведомственным учреждением</w:t>
      </w:r>
      <w:r w:rsidRPr="004B2C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B2CF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B2CF3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ED0C57" w:rsidRDefault="00ED0C57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lastRenderedPageBreak/>
        <w:t xml:space="preserve">Второе направление программы </w:t>
      </w:r>
      <w:r w:rsidRPr="00731CC8">
        <w:rPr>
          <w:rFonts w:ascii="Times New Roman" w:hAnsi="Times New Roman" w:cs="Times New Roman"/>
          <w:b/>
          <w:sz w:val="24"/>
          <w:szCs w:val="24"/>
        </w:rPr>
        <w:t>«Временное трудоустройство в городе Югорске»</w:t>
      </w:r>
      <w:r w:rsidRPr="006E448D">
        <w:rPr>
          <w:rFonts w:ascii="Times New Roman" w:hAnsi="Times New Roman" w:cs="Times New Roman"/>
          <w:sz w:val="24"/>
          <w:szCs w:val="24"/>
        </w:rPr>
        <w:t xml:space="preserve">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«Гелиос».</w:t>
      </w:r>
    </w:p>
    <w:p w:rsidR="00103F12" w:rsidRDefault="00103F12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F12" w:rsidRPr="0062312F" w:rsidRDefault="00103F12" w:rsidP="00103F12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62312F">
        <w:rPr>
          <w:rFonts w:eastAsia="Calibri"/>
          <w:sz w:val="24"/>
          <w:szCs w:val="24"/>
        </w:rPr>
        <w:t>Организаци</w:t>
      </w:r>
      <w:r>
        <w:rPr>
          <w:rFonts w:eastAsia="Calibri"/>
          <w:sz w:val="24"/>
          <w:szCs w:val="24"/>
        </w:rPr>
        <w:t>я</w:t>
      </w:r>
      <w:r w:rsidRPr="0062312F">
        <w:rPr>
          <w:rFonts w:eastAsia="Calibri"/>
          <w:sz w:val="24"/>
          <w:szCs w:val="24"/>
        </w:rPr>
        <w:t xml:space="preserve"> и создание условий в сфере трудоустройства и занятости подростков и молодежи </w:t>
      </w:r>
      <w:r>
        <w:rPr>
          <w:rFonts w:eastAsia="Calibri"/>
          <w:sz w:val="24"/>
          <w:szCs w:val="24"/>
        </w:rPr>
        <w:t xml:space="preserve">в городе </w:t>
      </w:r>
      <w:r w:rsidRPr="0062312F">
        <w:rPr>
          <w:rFonts w:eastAsia="Calibri"/>
          <w:sz w:val="24"/>
          <w:szCs w:val="24"/>
        </w:rPr>
        <w:t>обеспечивает МАУ «Молодежный центр «Гелиос».</w:t>
      </w:r>
    </w:p>
    <w:p w:rsidR="00103F12" w:rsidRPr="0062312F" w:rsidRDefault="00103F12" w:rsidP="00103F12">
      <w:pPr>
        <w:ind w:firstLine="709"/>
        <w:jc w:val="both"/>
        <w:rPr>
          <w:sz w:val="24"/>
          <w:szCs w:val="24"/>
        </w:rPr>
      </w:pPr>
      <w:r w:rsidRPr="0062312F">
        <w:rPr>
          <w:sz w:val="24"/>
          <w:szCs w:val="24"/>
        </w:rPr>
        <w:t>Всего на вр</w:t>
      </w:r>
      <w:r>
        <w:rPr>
          <w:sz w:val="24"/>
          <w:szCs w:val="24"/>
        </w:rPr>
        <w:t xml:space="preserve">еменную работу (через МАУ «МЦ «Гелиос») в 2019 году было трудоустроено </w:t>
      </w:r>
      <w:r w:rsidRPr="00966B5B">
        <w:rPr>
          <w:sz w:val="24"/>
          <w:szCs w:val="24"/>
        </w:rPr>
        <w:t>463</w:t>
      </w:r>
      <w:r w:rsidRPr="0062312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62312F">
        <w:rPr>
          <w:sz w:val="24"/>
          <w:szCs w:val="24"/>
        </w:rPr>
        <w:t xml:space="preserve"> </w:t>
      </w:r>
      <w:r w:rsidRPr="0062312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за </w:t>
      </w:r>
      <w:r w:rsidRPr="0062312F">
        <w:rPr>
          <w:bCs/>
          <w:sz w:val="24"/>
          <w:szCs w:val="24"/>
        </w:rPr>
        <w:t xml:space="preserve">2018 год </w:t>
      </w:r>
      <w:r w:rsidRPr="0046147F">
        <w:rPr>
          <w:bCs/>
          <w:sz w:val="24"/>
          <w:szCs w:val="24"/>
        </w:rPr>
        <w:t>- 469 человек</w:t>
      </w:r>
      <w:r w:rsidRPr="0062312F">
        <w:rPr>
          <w:bCs/>
          <w:sz w:val="24"/>
          <w:szCs w:val="24"/>
        </w:rPr>
        <w:t xml:space="preserve">) </w:t>
      </w:r>
      <w:r w:rsidRPr="0062312F">
        <w:rPr>
          <w:sz w:val="24"/>
          <w:szCs w:val="24"/>
        </w:rPr>
        <w:t>п</w:t>
      </w:r>
      <w:r w:rsidRPr="0062312F">
        <w:rPr>
          <w:bCs/>
          <w:sz w:val="24"/>
          <w:szCs w:val="24"/>
        </w:rPr>
        <w:t>о следующим направлениям:</w:t>
      </w:r>
    </w:p>
    <w:p w:rsidR="00103F12" w:rsidRPr="0062312F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занятости лиц, испытывающих трудности в поиске работы, организация оплачиваемых общественных работ</w:t>
      </w:r>
      <w:r>
        <w:rPr>
          <w:rFonts w:eastAsia="Arial"/>
          <w:sz w:val="24"/>
          <w:szCs w:val="24"/>
        </w:rPr>
        <w:t xml:space="preserve"> - </w:t>
      </w:r>
      <w:r w:rsidRPr="00966B5B">
        <w:rPr>
          <w:rFonts w:eastAsia="Arial"/>
          <w:sz w:val="24"/>
          <w:szCs w:val="24"/>
        </w:rPr>
        <w:t>32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>а</w:t>
      </w:r>
      <w:r w:rsidRPr="0062312F">
        <w:rPr>
          <w:rFonts w:eastAsia="Arial"/>
          <w:sz w:val="24"/>
          <w:szCs w:val="24"/>
        </w:rPr>
        <w:t xml:space="preserve"> (</w:t>
      </w:r>
      <w:r>
        <w:rPr>
          <w:rFonts w:eastAsia="Arial"/>
          <w:sz w:val="24"/>
          <w:szCs w:val="24"/>
        </w:rPr>
        <w:t xml:space="preserve">за 2018 год - </w:t>
      </w:r>
      <w:r w:rsidRPr="0046147F">
        <w:rPr>
          <w:rFonts w:eastAsia="Arial"/>
          <w:sz w:val="24"/>
          <w:szCs w:val="24"/>
        </w:rPr>
        <w:t>32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>а</w:t>
      </w:r>
      <w:r w:rsidRPr="0062312F"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>, а также оборудовано 5 рабочих мест для лиц с ограниченными возможностями здоровья</w:t>
      </w:r>
      <w:r w:rsidRPr="0062312F">
        <w:rPr>
          <w:rFonts w:eastAsia="Arial"/>
          <w:sz w:val="24"/>
          <w:szCs w:val="24"/>
        </w:rPr>
        <w:t>;</w:t>
      </w:r>
    </w:p>
    <w:p w:rsidR="00103F12" w:rsidRPr="0062312F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-</w:t>
      </w:r>
      <w:r>
        <w:rPr>
          <w:rFonts w:eastAsia="Arial"/>
          <w:sz w:val="24"/>
          <w:szCs w:val="24"/>
        </w:rPr>
        <w:t xml:space="preserve"> 5</w:t>
      </w:r>
      <w:r w:rsidRPr="0062312F">
        <w:rPr>
          <w:rFonts w:eastAsia="Arial"/>
          <w:sz w:val="24"/>
          <w:szCs w:val="24"/>
        </w:rPr>
        <w:t xml:space="preserve"> человек</w:t>
      </w:r>
      <w:r>
        <w:rPr>
          <w:rFonts w:eastAsia="Arial"/>
          <w:sz w:val="24"/>
          <w:szCs w:val="24"/>
        </w:rPr>
        <w:t xml:space="preserve"> (за 2018 год </w:t>
      </w:r>
      <w:r w:rsidRPr="0046147F">
        <w:rPr>
          <w:rFonts w:eastAsia="Arial"/>
          <w:sz w:val="24"/>
          <w:szCs w:val="24"/>
        </w:rPr>
        <w:t>- 6</w:t>
      </w:r>
      <w:r>
        <w:rPr>
          <w:rFonts w:eastAsia="Arial"/>
          <w:sz w:val="24"/>
          <w:szCs w:val="24"/>
        </w:rPr>
        <w:t xml:space="preserve"> человек</w:t>
      </w:r>
      <w:r w:rsidRPr="0062312F">
        <w:rPr>
          <w:rFonts w:eastAsia="Arial"/>
          <w:sz w:val="24"/>
          <w:szCs w:val="24"/>
        </w:rPr>
        <w:t>);</w:t>
      </w:r>
    </w:p>
    <w:p w:rsidR="00103F12" w:rsidRPr="0062312F" w:rsidRDefault="00103F12" w:rsidP="00103F12">
      <w:pPr>
        <w:widowControl w:val="0"/>
        <w:suppressAutoHyphens/>
        <w:ind w:firstLine="709"/>
        <w:jc w:val="both"/>
        <w:rPr>
          <w:rFonts w:eastAsia="Arial"/>
          <w:sz w:val="24"/>
          <w:szCs w:val="24"/>
        </w:rPr>
      </w:pPr>
      <w:r w:rsidRPr="0062312F">
        <w:rPr>
          <w:rFonts w:eastAsia="Arial"/>
          <w:sz w:val="24"/>
          <w:szCs w:val="24"/>
        </w:rPr>
        <w:t>- организация временного трудоустройства несовершеннолетних граждан в возрасте от 14 до 18 лет -</w:t>
      </w:r>
      <w:r>
        <w:rPr>
          <w:rFonts w:eastAsia="Arial"/>
          <w:sz w:val="24"/>
          <w:szCs w:val="24"/>
        </w:rPr>
        <w:t xml:space="preserve"> 426 человек на 0,25 ставки (за 2018 года </w:t>
      </w:r>
      <w:r w:rsidRPr="0046147F">
        <w:rPr>
          <w:rFonts w:eastAsia="Arial"/>
          <w:sz w:val="24"/>
          <w:szCs w:val="24"/>
        </w:rPr>
        <w:t>- 431 человек</w:t>
      </w:r>
      <w:r w:rsidRPr="0062312F">
        <w:rPr>
          <w:rFonts w:eastAsia="Arial"/>
          <w:sz w:val="24"/>
          <w:szCs w:val="24"/>
        </w:rPr>
        <w:t>).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F06D39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8D">
        <w:rPr>
          <w:rFonts w:ascii="Times New Roman" w:hAnsi="Times New Roman" w:cs="Times New Roman"/>
          <w:bCs/>
          <w:sz w:val="24"/>
          <w:szCs w:val="24"/>
        </w:rPr>
        <w:t xml:space="preserve">Совместно с Центром занятости населения,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инвалидам. </w:t>
      </w:r>
    </w:p>
    <w:p w:rsidR="00612C42" w:rsidRPr="00B73F9E" w:rsidRDefault="00612C42" w:rsidP="00612C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612C42" w:rsidRPr="006E448D" w:rsidRDefault="00612C42" w:rsidP="006E448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D39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  <w:r w:rsidRPr="006E448D">
        <w:rPr>
          <w:rFonts w:ascii="Times New Roman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F06D39" w:rsidRPr="006E448D" w:rsidRDefault="00103F12" w:rsidP="00103F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312F">
        <w:rPr>
          <w:sz w:val="24"/>
          <w:szCs w:val="24"/>
          <w:lang w:eastAsia="ru-RU"/>
        </w:rPr>
        <w:t xml:space="preserve">На базе Мультимедийного агентства МАУ «МЦ «Гелиос» </w:t>
      </w:r>
      <w:r>
        <w:rPr>
          <w:sz w:val="24"/>
          <w:szCs w:val="24"/>
          <w:lang w:eastAsia="ru-RU"/>
        </w:rPr>
        <w:t>осуществляются мероприятия социально – консультационной направленности для детей и молодежи с помощью компьютерного оборудования</w:t>
      </w:r>
      <w:r w:rsidRPr="0062312F">
        <w:rPr>
          <w:sz w:val="24"/>
          <w:szCs w:val="24"/>
          <w:lang w:eastAsia="ru-RU"/>
        </w:rPr>
        <w:t>. Количество посещений в отчетном периоде</w:t>
      </w:r>
      <w:r>
        <w:rPr>
          <w:sz w:val="24"/>
          <w:szCs w:val="24"/>
          <w:lang w:eastAsia="ru-RU"/>
        </w:rPr>
        <w:t xml:space="preserve"> составило 5 421</w:t>
      </w:r>
      <w:r w:rsidRPr="0062312F">
        <w:rPr>
          <w:sz w:val="24"/>
          <w:szCs w:val="24"/>
          <w:lang w:eastAsia="ru-RU"/>
        </w:rPr>
        <w:t xml:space="preserve"> человек</w:t>
      </w:r>
      <w:r>
        <w:rPr>
          <w:sz w:val="24"/>
          <w:szCs w:val="24"/>
          <w:lang w:eastAsia="ru-RU"/>
        </w:rPr>
        <w:t xml:space="preserve"> </w:t>
      </w:r>
      <w:r w:rsidR="00F06D39" w:rsidRPr="006E448D">
        <w:rPr>
          <w:rStyle w:val="FontStyle28"/>
        </w:rPr>
        <w:t>по следующим направлениям: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-предоставлялись услуги по информированию, консультированию по использованию персонального компьютера; 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8D">
        <w:rPr>
          <w:rFonts w:ascii="Times New Roman" w:hAnsi="Times New Roman" w:cs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201</w:t>
      </w:r>
      <w:r w:rsidR="00D136A4">
        <w:rPr>
          <w:rFonts w:ascii="Times New Roman" w:hAnsi="Times New Roman" w:cs="Times New Roman"/>
          <w:sz w:val="24"/>
          <w:szCs w:val="24"/>
        </w:rPr>
        <w:t>9</w:t>
      </w:r>
      <w:r w:rsidRPr="006E448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E448D">
        <w:rPr>
          <w:rStyle w:val="FontStyle28"/>
        </w:rPr>
        <w:t>36 услуг</w:t>
      </w:r>
      <w:r w:rsidR="00103F12">
        <w:rPr>
          <w:rStyle w:val="FontStyle28"/>
        </w:rPr>
        <w:t xml:space="preserve"> (1ый квартал 2019).</w:t>
      </w:r>
    </w:p>
    <w:p w:rsidR="00F06D39" w:rsidRPr="006E448D" w:rsidRDefault="00F06D39" w:rsidP="006E448D">
      <w:pPr>
        <w:pStyle w:val="a3"/>
        <w:ind w:firstLine="567"/>
        <w:jc w:val="both"/>
        <w:rPr>
          <w:rStyle w:val="FontStyle28"/>
        </w:rPr>
      </w:pPr>
      <w:r w:rsidRPr="006E448D">
        <w:rPr>
          <w:rStyle w:val="FontStyle28"/>
        </w:rPr>
        <w:t>Всего в 201</w:t>
      </w:r>
      <w:r w:rsidR="00D136A4">
        <w:rPr>
          <w:rStyle w:val="FontStyle28"/>
        </w:rPr>
        <w:t>9</w:t>
      </w:r>
      <w:r w:rsidRPr="006E448D">
        <w:rPr>
          <w:rStyle w:val="FontStyle28"/>
        </w:rPr>
        <w:t xml:space="preserve"> году было оказано </w:t>
      </w:r>
      <w:r w:rsidR="00D136A4">
        <w:rPr>
          <w:rStyle w:val="FontStyle28"/>
        </w:rPr>
        <w:t>5 457</w:t>
      </w:r>
      <w:r w:rsidRPr="006E448D">
        <w:rPr>
          <w:rStyle w:val="FontStyle28"/>
        </w:rPr>
        <w:t xml:space="preserve"> услуг. </w:t>
      </w:r>
    </w:p>
    <w:p w:rsidR="00612C42" w:rsidRPr="00612C42" w:rsidRDefault="00612C42" w:rsidP="00612C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42">
        <w:rPr>
          <w:rFonts w:ascii="Times New Roman" w:hAnsi="Times New Roman" w:cs="Times New Roman"/>
          <w:sz w:val="24"/>
          <w:szCs w:val="24"/>
        </w:rPr>
        <w:t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2CF3" w:rsidRDefault="004B2CF3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C01" w:rsidRDefault="00D04C01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09E" w:rsidRPr="00F252FF" w:rsidRDefault="00FF509E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2FF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и спорта в городе Югорске</w:t>
      </w:r>
    </w:p>
    <w:p w:rsidR="00F252FF" w:rsidRDefault="00F252FF" w:rsidP="00F25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</w:t>
      </w:r>
      <w:proofErr w:type="gramStart"/>
      <w:r w:rsidRPr="00835852">
        <w:rPr>
          <w:rFonts w:ascii="Times New Roman" w:hAnsi="Times New Roman"/>
          <w:sz w:val="24"/>
          <w:szCs w:val="24"/>
        </w:rPr>
        <w:t>ы ООО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МБУ СШОР «Центр Югорского спорта»;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филиал окружного «Центра спорта инвалидов Югры» в городе Югорске.</w:t>
      </w:r>
    </w:p>
    <w:p w:rsidR="00835852" w:rsidRDefault="00835852" w:rsidP="00835852">
      <w:pPr>
        <w:widowControl w:val="0"/>
        <w:ind w:firstLine="709"/>
        <w:jc w:val="both"/>
        <w:rPr>
          <w:rFonts w:eastAsia="Arial"/>
          <w:kern w:val="2"/>
          <w:sz w:val="24"/>
          <w:szCs w:val="24"/>
        </w:rPr>
      </w:pPr>
      <w:r w:rsidRPr="00835852">
        <w:rPr>
          <w:rFonts w:eastAsia="Arial"/>
          <w:kern w:val="2"/>
          <w:sz w:val="24"/>
          <w:szCs w:val="24"/>
        </w:rPr>
        <w:t xml:space="preserve">По состоянию на 31.12.2019 в городе имеется 105 сооружений спортивной направленности различных форм собственности (на 31.12.2018 - 90 сооружений), на базе которых развивается 43 вида спорта.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eastAsia="Arial" w:hAnsi="Times New Roman"/>
          <w:kern w:val="2"/>
          <w:sz w:val="24"/>
          <w:szCs w:val="24"/>
        </w:rPr>
      </w:pPr>
      <w:r w:rsidRPr="00835852">
        <w:rPr>
          <w:rFonts w:ascii="Times New Roman" w:eastAsia="Arial" w:hAnsi="Times New Roman"/>
          <w:kern w:val="2"/>
          <w:sz w:val="24"/>
          <w:szCs w:val="24"/>
        </w:rPr>
        <w:t xml:space="preserve">Согласно санитарно-гигиеническим нормам и условиям соблюдения техники безопасности на всех сооружениях, включая уличные площадки и игровые поля, единовременно могут заниматься 2 918 человек (в 2018 году - 2 884 человека), что составляет 63,9% от норматива.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eastAsia="Arial" w:hAnsi="Times New Roman"/>
          <w:kern w:val="2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35852">
        <w:rPr>
          <w:rFonts w:ascii="Times New Roman" w:hAnsi="Times New Roman"/>
          <w:iCs/>
          <w:sz w:val="24"/>
          <w:szCs w:val="24"/>
        </w:rPr>
        <w:t xml:space="preserve">С 2019 года в рамках реализации национального проекта «Демография» в городе Югорске начал реализовываться региональный проект «Спорт –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Федерации, автономного округа. Реализация мероприятий </w:t>
      </w:r>
      <w:proofErr w:type="gramStart"/>
      <w:r w:rsidRPr="00835852">
        <w:rPr>
          <w:rFonts w:ascii="Times New Roman" w:hAnsi="Times New Roman"/>
          <w:iCs/>
          <w:sz w:val="24"/>
          <w:szCs w:val="24"/>
        </w:rPr>
        <w:t>направлена</w:t>
      </w:r>
      <w:proofErr w:type="gramEnd"/>
      <w:r w:rsidRPr="00835852">
        <w:rPr>
          <w:rFonts w:ascii="Times New Roman" w:hAnsi="Times New Roman"/>
          <w:iCs/>
          <w:sz w:val="24"/>
          <w:szCs w:val="24"/>
        </w:rPr>
        <w:t xml:space="preserve"> на оснащение объектов спортивной инфраструктуры, приобретение спортивного оборудования и инвентаря для приведения спортивных организаций и учреждений в нормальное состояние.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28 марта 2019 году в городе Югорске был введен в эксплуатацию новый спортивный комплекс с универсальным игровым залом, который передан в оперативное управление муниципальному бюджетному учреждению спортивная школа олимпийского резерва «Центр Югорского спорта». Е</w:t>
      </w:r>
      <w:r w:rsidRPr="00835852">
        <w:rPr>
          <w:rFonts w:ascii="roboto" w:hAnsi="roboto" w:cs="Helvetica"/>
          <w:sz w:val="23"/>
          <w:szCs w:val="23"/>
        </w:rPr>
        <w:t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многофункциональности и универсальности. Комплекс является одним из крупнейших в Уральском федеральном округе, в котором имеется 11 спортивных сооружений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 С введением в эксплуатацию нового здания стало возможным: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проведение тренировочного и соревновательного процесса в специализированных, а не приспособленных залах;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развитие стрелковых видов спорта (стрельба из </w:t>
      </w:r>
      <w:proofErr w:type="gramStart"/>
      <w:r w:rsidRPr="00835852">
        <w:rPr>
          <w:rFonts w:ascii="Times New Roman" w:hAnsi="Times New Roman"/>
          <w:sz w:val="24"/>
          <w:szCs w:val="24"/>
        </w:rPr>
        <w:t>пневматической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и мелкокалиберных винтовок, стрельба из лука);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развитие водных видов спорта для различных групп и категорий населения (дети, пенсионеры, мать и дитя) и аквапарка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проведение занятий с людьми с ограниченными возможностями в специально оборудованном бассейне;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развитие бильярдного спорта (на сегодняшний момент занятия осуществляются только в ООО «Газпром </w:t>
      </w:r>
      <w:proofErr w:type="spellStart"/>
      <w:r w:rsidRPr="0083585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835852">
        <w:rPr>
          <w:rFonts w:ascii="Times New Roman" w:hAnsi="Times New Roman"/>
          <w:sz w:val="24"/>
          <w:szCs w:val="24"/>
        </w:rPr>
        <w:t xml:space="preserve"> Югорск»).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В  учреждении  по состоянию на 31.12.2019 занимается 1 377 спортсмен (</w:t>
      </w:r>
      <w:r w:rsidRPr="00835852">
        <w:rPr>
          <w:rFonts w:ascii="Times New Roman" w:hAnsi="Times New Roman"/>
          <w:i/>
          <w:sz w:val="24"/>
          <w:szCs w:val="24"/>
        </w:rPr>
        <w:t>в том числе 201 спортсмен по программам ПФДО, 1 176 в рамках МЗ)</w:t>
      </w:r>
      <w:r w:rsidRPr="00835852">
        <w:rPr>
          <w:rFonts w:ascii="Times New Roman" w:hAnsi="Times New Roman"/>
          <w:sz w:val="24"/>
          <w:szCs w:val="24"/>
        </w:rPr>
        <w:t xml:space="preserve">, подростки и молодежь. Культивируются следующие виды спорта: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2">
        <w:rPr>
          <w:rFonts w:ascii="Times New Roman" w:hAnsi="Times New Roman"/>
          <w:sz w:val="24"/>
          <w:szCs w:val="24"/>
        </w:rPr>
        <w:t xml:space="preserve">мини - футбол, волейбол, бокс, спортивная аэробика, спортивная акробатика, пауэрлифтинг, теннис,  дзюдо,  волейбол, художественная гимнастика, хоккей с шайбой,  баскетбол, скандинавская ходьба, лыжероллеры. </w:t>
      </w:r>
      <w:proofErr w:type="gramEnd"/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lastRenderedPageBreak/>
        <w:t>В оперативном управлении учреждения находится здание, в котором расположены: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игровой зал 42*42 метра с трибунами на 1 834 зрительских мест;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спортивный зал 42*42 метра, посещаемый в сутки 390 посетителями;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тренировочный зал 42*42 метра, посещаемый в сутки 390 посетителями;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5852">
        <w:rPr>
          <w:rFonts w:ascii="Times New Roman" w:hAnsi="Times New Roman"/>
          <w:sz w:val="24"/>
          <w:szCs w:val="24"/>
        </w:rPr>
        <w:t>аква</w:t>
      </w:r>
      <w:proofErr w:type="spellEnd"/>
      <w:r w:rsidRPr="00835852">
        <w:rPr>
          <w:rFonts w:ascii="Times New Roman" w:hAnsi="Times New Roman"/>
          <w:sz w:val="24"/>
          <w:szCs w:val="24"/>
        </w:rPr>
        <w:t>-парк 42*42 метра, посещаемый в час 81 посетителем;</w:t>
      </w:r>
      <w:proofErr w:type="gramEnd"/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фитнес-центр 42*42 метра, посещаемый в час 20 посетителями;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бильярдный зал 42*42 метра, посещаемый в час 18 посетителями;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зал для настольного тенниса 42*42 метра, посещаемый в час 24 посетителями. 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В вечернее время и выходные дни проводятся тренировочные 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ab/>
        <w:t xml:space="preserve">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 w:rsidRPr="00835852">
        <w:rPr>
          <w:rFonts w:ascii="Times New Roman" w:hAnsi="Times New Roman"/>
          <w:sz w:val="24"/>
          <w:szCs w:val="24"/>
        </w:rPr>
        <w:t>тренеров-преподавателей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не выезжающих за пределы города на спортивные площадки в микрорайонах.</w:t>
      </w:r>
    </w:p>
    <w:p w:rsidR="00835852" w:rsidRPr="00835852" w:rsidRDefault="00835852" w:rsidP="00835852">
      <w:pPr>
        <w:ind w:firstLine="709"/>
        <w:jc w:val="both"/>
        <w:rPr>
          <w:rFonts w:ascii="roboto" w:hAnsi="roboto" w:cs="Helvetica"/>
          <w:sz w:val="23"/>
          <w:szCs w:val="23"/>
        </w:rPr>
      </w:pPr>
      <w:r w:rsidRPr="00835852">
        <w:rPr>
          <w:rFonts w:ascii="roboto" w:hAnsi="roboto" w:cs="Helvetica"/>
          <w:sz w:val="23"/>
          <w:szCs w:val="23"/>
        </w:rPr>
        <w:t>Построена спортивная площадка в микрорайоне «Авалон», оборудован турниковый комплекс по ул. Толстого, 14.</w:t>
      </w:r>
    </w:p>
    <w:p w:rsidR="00835852" w:rsidRPr="00835852" w:rsidRDefault="00835852" w:rsidP="00835852">
      <w:pPr>
        <w:ind w:firstLine="709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Осуществляются мероприятия по следующим направлениям:</w:t>
      </w:r>
    </w:p>
    <w:p w:rsidR="00835852" w:rsidRPr="00835852" w:rsidRDefault="00835852" w:rsidP="00835852">
      <w:pPr>
        <w:ind w:firstLine="709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835852" w:rsidRPr="00835852" w:rsidRDefault="00835852" w:rsidP="00835852">
      <w:pPr>
        <w:ind w:firstLine="709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kern w:val="2"/>
          <w:sz w:val="24"/>
          <w:szCs w:val="24"/>
        </w:rPr>
        <w:t xml:space="preserve">Всего в городе систематически занимаются физической культурой и спортом 17 526 человек (48% от общей численности населения города). </w:t>
      </w:r>
      <w:r w:rsidRPr="00835852">
        <w:rPr>
          <w:rFonts w:eastAsia="Arial"/>
          <w:sz w:val="24"/>
          <w:szCs w:val="24"/>
        </w:rPr>
        <w:t xml:space="preserve">Физкультурными кадрами укомплектованы все образовательные учреждения.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5852">
        <w:rPr>
          <w:rFonts w:ascii="Times New Roman" w:hAnsi="Times New Roman"/>
          <w:i/>
          <w:sz w:val="24"/>
          <w:szCs w:val="24"/>
        </w:rPr>
        <w:t>Физическая</w:t>
      </w:r>
      <w:proofErr w:type="gramEnd"/>
      <w:r w:rsidRPr="00835852">
        <w:rPr>
          <w:rFonts w:ascii="Times New Roman" w:hAnsi="Times New Roman"/>
          <w:i/>
          <w:sz w:val="24"/>
          <w:szCs w:val="24"/>
        </w:rPr>
        <w:t xml:space="preserve"> культура и спорт среди инвалидов: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sz w:val="24"/>
          <w:szCs w:val="24"/>
        </w:rPr>
        <w:t>Занятия по физической культуре и спорту посещают 613 человек с ограниченными физическими возможностями здоровья, что составляет 37,0% от общего количества людей с инвалидностью, проживающих в городе.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835852">
        <w:rPr>
          <w:rFonts w:eastAsia="Arial"/>
          <w:sz w:val="24"/>
          <w:szCs w:val="24"/>
        </w:rPr>
        <w:t xml:space="preserve">В течение отчетного периода организовано и проведено 221 спортивно-массовое мероприятие различной направленности (за 2018 года - 224 мероприятия), в которых приняло участие 16 928 человек (за 2018 года -14 629человека), так же Культурно-спортивным комплексом «НОРД» ООО «Газпром </w:t>
      </w:r>
      <w:proofErr w:type="spellStart"/>
      <w:r w:rsidRPr="00835852">
        <w:rPr>
          <w:rFonts w:eastAsia="Arial"/>
          <w:sz w:val="24"/>
          <w:szCs w:val="24"/>
        </w:rPr>
        <w:t>трансгаз</w:t>
      </w:r>
      <w:proofErr w:type="spellEnd"/>
      <w:r w:rsidRPr="00835852">
        <w:rPr>
          <w:rFonts w:eastAsia="Arial"/>
          <w:sz w:val="24"/>
          <w:szCs w:val="24"/>
        </w:rPr>
        <w:t xml:space="preserve"> Югорск» проведено более 200 спортивно-массовых мероприятий среди работников филиалов с охватом более 10 00 человек. </w:t>
      </w:r>
      <w:proofErr w:type="gramEnd"/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:rsidR="00835852" w:rsidRPr="00835852" w:rsidRDefault="00835852" w:rsidP="00835852">
      <w:pPr>
        <w:widowControl w:val="0"/>
        <w:suppressAutoHyphens/>
        <w:jc w:val="center"/>
        <w:rPr>
          <w:rFonts w:eastAsia="Andale Sans UI"/>
          <w:i/>
          <w:kern w:val="1"/>
          <w:sz w:val="24"/>
          <w:szCs w:val="24"/>
        </w:rPr>
      </w:pPr>
      <w:r w:rsidRPr="00835852">
        <w:rPr>
          <w:rFonts w:eastAsia="Andale Sans UI"/>
          <w:bCs/>
          <w:i/>
          <w:kern w:val="1"/>
          <w:sz w:val="24"/>
          <w:szCs w:val="24"/>
        </w:rPr>
        <w:t>Информация о проводимых соревнованиях в г. Югорске за 2019 год</w:t>
      </w:r>
    </w:p>
    <w:p w:rsidR="00835852" w:rsidRPr="00835852" w:rsidRDefault="00835852" w:rsidP="00835852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09"/>
        <w:gridCol w:w="850"/>
        <w:gridCol w:w="1134"/>
        <w:gridCol w:w="1134"/>
        <w:gridCol w:w="1134"/>
        <w:gridCol w:w="709"/>
        <w:gridCol w:w="850"/>
        <w:gridCol w:w="709"/>
        <w:gridCol w:w="709"/>
      </w:tblGrid>
      <w:tr w:rsidR="00835852" w:rsidRPr="00835852" w:rsidTr="00835852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Количество </w:t>
            </w:r>
          </w:p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мероприятий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>Занятое место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Общее количество  медалей</w:t>
            </w:r>
          </w:p>
        </w:tc>
      </w:tr>
      <w:tr w:rsidR="00835852" w:rsidRPr="00835852" w:rsidTr="00835852">
        <w:trPr>
          <w:cantSplit/>
          <w:trHeight w:val="1488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 ЦЮС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Cs w:val="24"/>
              </w:rPr>
              <w:t xml:space="preserve">иногородние </w:t>
            </w:r>
            <w:r w:rsidRPr="00835852">
              <w:rPr>
                <w:rFonts w:eastAsia="Andale Sans UI"/>
                <w:kern w:val="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ind w:left="113" w:right="113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всего </w:t>
            </w:r>
            <w:r w:rsidRPr="00835852">
              <w:rPr>
                <w:rFonts w:eastAsia="Andale Sans UI"/>
                <w:kern w:val="1"/>
                <w:szCs w:val="24"/>
              </w:rPr>
              <w:t>спортсменов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Cs/>
                <w:kern w:val="1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09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9 722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10 800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742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vMerge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Межмуниципальные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1 601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83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1 180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49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1861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2 142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66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Международные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</w:tr>
      <w:tr w:rsidR="00835852" w:rsidRPr="00835852" w:rsidTr="00835852">
        <w:trPr>
          <w:trHeight w:val="287"/>
        </w:trPr>
        <w:tc>
          <w:tcPr>
            <w:tcW w:w="425" w:type="dxa"/>
            <w:vMerge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kern w:val="1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  <w:r w:rsidRPr="00835852">
              <w:rPr>
                <w:rFonts w:ascii="Calibri" w:eastAsia="Andale Sans UI" w:hAnsi="Calibri"/>
                <w:color w:val="000000"/>
                <w:kern w:val="1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835852" w:rsidRPr="00835852" w:rsidTr="00835852">
        <w:trPr>
          <w:trHeight w:val="287"/>
        </w:trPr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widowControl w:val="0"/>
              <w:suppressAutoHyphens/>
              <w:jc w:val="right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2 519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12 312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2097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16 928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940</w:t>
            </w:r>
          </w:p>
        </w:tc>
      </w:tr>
    </w:tbl>
    <w:p w:rsidR="00835852" w:rsidRPr="00835852" w:rsidRDefault="00835852" w:rsidP="00835852">
      <w:pPr>
        <w:widowControl w:val="0"/>
        <w:suppressAutoHyphens/>
        <w:rPr>
          <w:rFonts w:eastAsia="Andale Sans UI"/>
          <w:kern w:val="1"/>
          <w:sz w:val="24"/>
          <w:szCs w:val="24"/>
        </w:rPr>
      </w:pPr>
    </w:p>
    <w:p w:rsidR="00D04C01" w:rsidRDefault="00D04C01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:rsidR="00D04C01" w:rsidRDefault="00D04C01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lastRenderedPageBreak/>
        <w:t xml:space="preserve">Из общего количества мероприятий можно отметить наиболее значимые: 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финал зонального Первенства России по мини-футболу;</w:t>
      </w:r>
    </w:p>
    <w:p w:rsidR="00835852" w:rsidRPr="00835852" w:rsidRDefault="00835852" w:rsidP="0083585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- массовая лыжная гонка «Лыжня России 2019»;</w:t>
      </w:r>
    </w:p>
    <w:p w:rsidR="00835852" w:rsidRPr="00835852" w:rsidRDefault="00835852" w:rsidP="00835852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835852">
        <w:rPr>
          <w:sz w:val="24"/>
          <w:szCs w:val="24"/>
        </w:rPr>
        <w:t xml:space="preserve">- </w:t>
      </w:r>
      <w:r w:rsidRPr="00835852">
        <w:rPr>
          <w:bCs/>
          <w:sz w:val="24"/>
          <w:szCs w:val="24"/>
        </w:rPr>
        <w:t>Открытый кубок Ханты-Мансийского автономного округа - Югры по автогонкам на льду;</w:t>
      </w:r>
    </w:p>
    <w:p w:rsidR="00835852" w:rsidRPr="00835852" w:rsidRDefault="00835852" w:rsidP="00835852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835852">
        <w:rPr>
          <w:bCs/>
          <w:sz w:val="24"/>
          <w:szCs w:val="24"/>
        </w:rPr>
        <w:t>- Чемпионат Ханты-Мансийского автономного округа - Югры по баскетболу;</w:t>
      </w:r>
    </w:p>
    <w:p w:rsidR="00835852" w:rsidRPr="00835852" w:rsidRDefault="00835852" w:rsidP="00835852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835852">
        <w:rPr>
          <w:bCs/>
          <w:sz w:val="24"/>
          <w:szCs w:val="24"/>
        </w:rPr>
        <w:t xml:space="preserve">- Открытое Первенство города Югорска по </w:t>
      </w:r>
      <w:proofErr w:type="spellStart"/>
      <w:r w:rsidRPr="00835852">
        <w:rPr>
          <w:bCs/>
          <w:sz w:val="24"/>
          <w:szCs w:val="24"/>
        </w:rPr>
        <w:t>тхэквандо</w:t>
      </w:r>
      <w:proofErr w:type="spellEnd"/>
      <w:r w:rsidRPr="00835852">
        <w:rPr>
          <w:bCs/>
          <w:sz w:val="24"/>
          <w:szCs w:val="24"/>
        </w:rPr>
        <w:t>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Губернаторские состязания;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Открытый фестиваль по оздоровительной аэробике «Весна молодая»;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Спортивная акция по гиревому спорту, посвященная Дню Победы в ВОВ;</w:t>
      </w:r>
    </w:p>
    <w:p w:rsidR="00835852" w:rsidRPr="00835852" w:rsidRDefault="00835852" w:rsidP="00835852">
      <w:pPr>
        <w:widowControl w:val="0"/>
        <w:tabs>
          <w:tab w:val="left" w:pos="851"/>
        </w:tabs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-Всероссийские спортивные соревнования школьников Ханты-Мансийского автономного округа - Югры «Президентские состязания»;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>- фестиваль детского дворового футбола;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sz w:val="24"/>
          <w:szCs w:val="24"/>
        </w:rPr>
        <w:t xml:space="preserve">- Открытый чемпионат </w:t>
      </w:r>
      <w:proofErr w:type="spellStart"/>
      <w:r w:rsidRPr="00835852">
        <w:rPr>
          <w:rFonts w:eastAsia="Arial"/>
          <w:sz w:val="24"/>
          <w:szCs w:val="24"/>
        </w:rPr>
        <w:t>УрФО</w:t>
      </w:r>
      <w:proofErr w:type="spellEnd"/>
      <w:r w:rsidRPr="00835852">
        <w:rPr>
          <w:rFonts w:eastAsia="Arial"/>
          <w:sz w:val="24"/>
          <w:szCs w:val="24"/>
        </w:rPr>
        <w:t xml:space="preserve"> по авиамодельному спорту;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Всероссийские соревнования Кубок Севера по теннису среди юношей и девушек;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Фестиваль спорта «Дети Югры» среди детей с ограниченными возможностями и многие другие;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Всероссийский день бега «Кросс нации 2019»;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bCs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Первенство автономного округа по легкой атлетике;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35852">
        <w:rPr>
          <w:rFonts w:eastAsia="Arial"/>
          <w:bCs/>
          <w:sz w:val="24"/>
          <w:szCs w:val="24"/>
        </w:rPr>
        <w:t>- Кубок России по мотогонкам на льду.</w:t>
      </w:r>
    </w:p>
    <w:p w:rsidR="00835852" w:rsidRPr="00835852" w:rsidRDefault="00835852" w:rsidP="00835852">
      <w:pPr>
        <w:widowControl w:val="0"/>
        <w:suppressAutoHyphens/>
        <w:rPr>
          <w:rFonts w:eastAsia="Andale Sans UI"/>
          <w:kern w:val="2"/>
          <w:sz w:val="24"/>
          <w:szCs w:val="24"/>
        </w:rPr>
      </w:pPr>
    </w:p>
    <w:p w:rsidR="00835852" w:rsidRPr="00835852" w:rsidRDefault="00835852" w:rsidP="00835852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835852">
        <w:rPr>
          <w:rFonts w:eastAsia="Andale Sans UI"/>
          <w:kern w:val="2"/>
          <w:sz w:val="24"/>
          <w:szCs w:val="24"/>
        </w:rPr>
        <w:t>В  2019 году было 197 выездов  за пределы города на соревнования различного уровня из них:</w:t>
      </w:r>
    </w:p>
    <w:p w:rsidR="00835852" w:rsidRPr="00835852" w:rsidRDefault="00835852" w:rsidP="00835852">
      <w:pPr>
        <w:jc w:val="center"/>
        <w:rPr>
          <w:b/>
          <w:bCs/>
          <w:color w:val="000000"/>
          <w:sz w:val="24"/>
          <w:szCs w:val="24"/>
        </w:rPr>
      </w:pPr>
    </w:p>
    <w:p w:rsidR="00835852" w:rsidRPr="00835852" w:rsidRDefault="00835852" w:rsidP="00835852">
      <w:pPr>
        <w:jc w:val="center"/>
        <w:rPr>
          <w:b/>
          <w:bCs/>
          <w:color w:val="000000"/>
          <w:sz w:val="24"/>
          <w:szCs w:val="24"/>
        </w:rPr>
      </w:pPr>
      <w:r w:rsidRPr="00835852">
        <w:rPr>
          <w:b/>
          <w:bCs/>
          <w:color w:val="000000"/>
          <w:sz w:val="24"/>
          <w:szCs w:val="24"/>
        </w:rPr>
        <w:t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2019 г.</w:t>
      </w:r>
    </w:p>
    <w:tbl>
      <w:tblPr>
        <w:tblW w:w="5270" w:type="pct"/>
        <w:tblLayout w:type="fixed"/>
        <w:tblLook w:val="04A0" w:firstRow="1" w:lastRow="0" w:firstColumn="1" w:lastColumn="0" w:noHBand="0" w:noVBand="1"/>
      </w:tblPr>
      <w:tblGrid>
        <w:gridCol w:w="394"/>
        <w:gridCol w:w="2052"/>
        <w:gridCol w:w="734"/>
        <w:gridCol w:w="805"/>
        <w:gridCol w:w="932"/>
        <w:gridCol w:w="1368"/>
        <w:gridCol w:w="483"/>
        <w:gridCol w:w="333"/>
        <w:gridCol w:w="722"/>
        <w:gridCol w:w="763"/>
        <w:gridCol w:w="259"/>
        <w:gridCol w:w="278"/>
        <w:gridCol w:w="278"/>
        <w:gridCol w:w="280"/>
        <w:gridCol w:w="297"/>
        <w:gridCol w:w="55"/>
        <w:gridCol w:w="181"/>
        <w:gridCol w:w="470"/>
      </w:tblGrid>
      <w:tr w:rsidR="00835852" w:rsidRPr="00835852" w:rsidTr="007D6713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rPr>
                <w:rFonts w:ascii="Calibri" w:hAnsi="Calibri"/>
                <w:color w:val="000000"/>
              </w:rPr>
            </w:pPr>
          </w:p>
        </w:tc>
      </w:tr>
      <w:tr w:rsidR="00835852" w:rsidRPr="00835852" w:rsidTr="007D6713">
        <w:trPr>
          <w:gridAfter w:val="2"/>
          <w:wAfter w:w="306" w:type="pct"/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№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количество выездов (мероприятий)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bCs/>
                <w:color w:val="000000"/>
              </w:rPr>
            </w:pPr>
            <w:r w:rsidRPr="00835852"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6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ind w:left="113" w:right="113"/>
              <w:jc w:val="center"/>
              <w:rPr>
                <w:b/>
                <w:color w:val="000000"/>
              </w:rPr>
            </w:pPr>
            <w:r w:rsidRPr="00835852">
              <w:rPr>
                <w:b/>
                <w:color w:val="000000"/>
              </w:rPr>
              <w:t>Общее количество</w:t>
            </w:r>
          </w:p>
        </w:tc>
      </w:tr>
      <w:tr w:rsidR="00835852" w:rsidRPr="00835852" w:rsidTr="007D6713">
        <w:trPr>
          <w:gridAfter w:val="2"/>
          <w:wAfter w:w="306" w:type="pct"/>
          <w:cantSplit/>
          <w:trHeight w:val="181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852" w:rsidRPr="00835852" w:rsidRDefault="00835852" w:rsidP="007D6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852" w:rsidRPr="00835852" w:rsidRDefault="00835852" w:rsidP="007D6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ind w:left="113" w:right="113"/>
              <w:jc w:val="center"/>
              <w:rPr>
                <w:color w:val="000000"/>
              </w:rPr>
            </w:pPr>
            <w:r w:rsidRPr="00835852">
              <w:rPr>
                <w:color w:val="000000"/>
              </w:rPr>
              <w:t>спортсмены СШОР "ЦЮС"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спортсмены города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5852" w:rsidRPr="00835852" w:rsidRDefault="00835852" w:rsidP="007D6713">
            <w:pPr>
              <w:ind w:left="113" w:right="732"/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 xml:space="preserve">              всего    с</w:t>
            </w:r>
            <w:r w:rsidRPr="00835852">
              <w:rPr>
                <w:color w:val="000000"/>
                <w:szCs w:val="24"/>
              </w:rPr>
              <w:t>портсменов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6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</w:p>
        </w:tc>
      </w:tr>
      <w:tr w:rsidR="00835852" w:rsidRPr="00835852" w:rsidTr="007D6713">
        <w:trPr>
          <w:gridAfter w:val="2"/>
          <w:wAfter w:w="306" w:type="pct"/>
          <w:trHeight w:val="3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Международные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</w:t>
            </w:r>
          </w:p>
        </w:tc>
      </w:tr>
      <w:tr w:rsidR="00835852" w:rsidRPr="00835852" w:rsidTr="007D6713">
        <w:trPr>
          <w:gridAfter w:val="2"/>
          <w:wAfter w:w="306" w:type="pct"/>
          <w:trHeight w:val="34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209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29</w:t>
            </w:r>
          </w:p>
        </w:tc>
      </w:tr>
      <w:tr w:rsidR="00835852" w:rsidRPr="00835852" w:rsidTr="007D6713">
        <w:trPr>
          <w:gridAfter w:val="2"/>
          <w:wAfter w:w="306" w:type="pct"/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852">
              <w:rPr>
                <w:color w:val="000000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107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27</w:t>
            </w:r>
          </w:p>
        </w:tc>
      </w:tr>
      <w:tr w:rsidR="00835852" w:rsidRPr="00835852" w:rsidTr="007D6713">
        <w:trPr>
          <w:gridAfter w:val="2"/>
          <w:wAfter w:w="306" w:type="pct"/>
          <w:trHeight w:val="4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196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879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69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226</w:t>
            </w:r>
          </w:p>
        </w:tc>
      </w:tr>
      <w:tr w:rsidR="00835852" w:rsidRPr="00835852" w:rsidTr="007D6713">
        <w:trPr>
          <w:gridAfter w:val="2"/>
          <w:wAfter w:w="306" w:type="pct"/>
          <w:cantSplit/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Cs w:val="24"/>
              </w:rPr>
            </w:pPr>
            <w:r w:rsidRPr="00835852">
              <w:rPr>
                <w:color w:val="000000"/>
                <w:szCs w:val="24"/>
              </w:rPr>
              <w:t>Межмуниципальные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493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6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75</w:t>
            </w:r>
          </w:p>
        </w:tc>
      </w:tr>
      <w:tr w:rsidR="00835852" w:rsidRPr="00835852" w:rsidTr="007D6713">
        <w:trPr>
          <w:gridAfter w:val="2"/>
          <w:wAfter w:w="306" w:type="pct"/>
          <w:trHeight w:val="6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jc w:val="center"/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rPr>
                <w:color w:val="000000"/>
                <w:sz w:val="24"/>
                <w:szCs w:val="24"/>
              </w:rPr>
            </w:pPr>
            <w:r w:rsidRPr="00835852">
              <w:rPr>
                <w:color w:val="000000"/>
                <w:sz w:val="24"/>
                <w:szCs w:val="24"/>
              </w:rPr>
              <w:t>УТС за пределами города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221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835852" w:rsidRPr="00835852" w:rsidTr="007D6713">
        <w:trPr>
          <w:gridAfter w:val="2"/>
          <w:wAfter w:w="306" w:type="pct"/>
          <w:trHeight w:val="315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852" w:rsidRPr="00835852" w:rsidRDefault="00835852" w:rsidP="007D67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585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197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1 716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1 920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133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116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52" w:rsidRPr="00835852" w:rsidRDefault="00835852" w:rsidP="007D6713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</w:pPr>
            <w:r w:rsidRPr="00835852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364</w:t>
            </w:r>
          </w:p>
        </w:tc>
      </w:tr>
    </w:tbl>
    <w:p w:rsidR="00835852" w:rsidRPr="00835852" w:rsidRDefault="00835852" w:rsidP="00835852">
      <w:pPr>
        <w:widowControl w:val="0"/>
        <w:suppressAutoHyphens/>
        <w:rPr>
          <w:rFonts w:eastAsia="Andale Sans UI"/>
          <w:kern w:val="1"/>
          <w:sz w:val="24"/>
          <w:szCs w:val="24"/>
        </w:rPr>
      </w:pPr>
    </w:p>
    <w:p w:rsidR="00835852" w:rsidRPr="00835852" w:rsidRDefault="00835852" w:rsidP="00835852">
      <w:pPr>
        <w:ind w:firstLine="709"/>
        <w:jc w:val="both"/>
        <w:rPr>
          <w:color w:val="000000"/>
          <w:sz w:val="24"/>
          <w:szCs w:val="24"/>
        </w:rPr>
      </w:pPr>
      <w:r w:rsidRPr="00835852">
        <w:rPr>
          <w:color w:val="000000"/>
          <w:sz w:val="24"/>
          <w:szCs w:val="24"/>
        </w:rPr>
        <w:t xml:space="preserve">В рамках Всероссийского физкультурно-спортивного комплекса </w:t>
      </w:r>
      <w:r w:rsidRPr="00835852">
        <w:rPr>
          <w:i/>
          <w:color w:val="000000"/>
          <w:sz w:val="24"/>
          <w:szCs w:val="24"/>
        </w:rPr>
        <w:t xml:space="preserve">«Готов к труду и обороне» </w:t>
      </w:r>
      <w:r w:rsidRPr="00835852">
        <w:rPr>
          <w:color w:val="000000"/>
          <w:sz w:val="24"/>
          <w:szCs w:val="24"/>
        </w:rPr>
        <w:t xml:space="preserve">(«ГТО») было проведено 23  мероприятия в городе Югорске, </w:t>
      </w:r>
      <w:proofErr w:type="spellStart"/>
      <w:r w:rsidRPr="00835852">
        <w:rPr>
          <w:color w:val="000000"/>
          <w:sz w:val="24"/>
          <w:szCs w:val="24"/>
        </w:rPr>
        <w:t>югорские</w:t>
      </w:r>
      <w:proofErr w:type="spellEnd"/>
      <w:r w:rsidRPr="00835852">
        <w:rPr>
          <w:color w:val="000000"/>
          <w:sz w:val="24"/>
          <w:szCs w:val="24"/>
        </w:rPr>
        <w:t xml:space="preserve"> спортсмены приняли участие в 4 выездных мероприятиях - фестивалях Всероссийского физкультурно-спортивного комплекса «ГТО». Всего в мероприятиях приняли участие 1 581 человек.</w:t>
      </w:r>
    </w:p>
    <w:p w:rsidR="00835852" w:rsidRPr="00835852" w:rsidRDefault="00835852" w:rsidP="00835852">
      <w:pPr>
        <w:widowControl w:val="0"/>
        <w:tabs>
          <w:tab w:val="left" w:pos="709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  <w:r w:rsidRPr="00835852">
        <w:rPr>
          <w:sz w:val="24"/>
          <w:szCs w:val="24"/>
          <w:shd w:val="clear" w:color="auto" w:fill="FFFFFF"/>
        </w:rPr>
        <w:t xml:space="preserve">По результатам комплексной Спартакиады «Югра спортивная» 2019 года, в которую вошли итоги 13 Спартакиад автономного округа, город Югорск занял 1 место среди городов и районов с численность населения до 40 тыс. человек. </w:t>
      </w:r>
    </w:p>
    <w:p w:rsidR="00835852" w:rsidRPr="00835852" w:rsidRDefault="00835852" w:rsidP="00835852">
      <w:pPr>
        <w:widowControl w:val="0"/>
        <w:ind w:firstLine="709"/>
        <w:jc w:val="both"/>
        <w:rPr>
          <w:rFonts w:eastAsia="Arial"/>
          <w:sz w:val="24"/>
        </w:rPr>
      </w:pP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lastRenderedPageBreak/>
        <w:t>По состоянию на 31.12.2019 года в городе Югорске официально зарегистрировано 16 общественных социально ориентированных некоммерческих организаций, которые оказывают услуги в сфере физической культуры и спорта: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 xml:space="preserve">2. Региональная </w:t>
      </w:r>
      <w:proofErr w:type="spellStart"/>
      <w:r w:rsidRPr="00835852">
        <w:rPr>
          <w:sz w:val="24"/>
          <w:szCs w:val="24"/>
        </w:rPr>
        <w:t>физкультурно</w:t>
      </w:r>
      <w:proofErr w:type="spellEnd"/>
      <w:r w:rsidRPr="00835852">
        <w:rPr>
          <w:sz w:val="24"/>
          <w:szCs w:val="24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3. Благотворительный фонд «Югорск без наркотиков» (развитие рукопашного боя);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4. Городское общественное объединение боксеров «Гонг»;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5. Автономная некоммерческая организация дополнительного образования и спорта «Спортивно-технический клуб «Адреналин» (занимается развитием технических видов спорта – картинг, велокросс);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 xml:space="preserve">6. </w:t>
      </w:r>
      <w:proofErr w:type="spellStart"/>
      <w:r w:rsidRPr="00835852">
        <w:rPr>
          <w:sz w:val="24"/>
          <w:szCs w:val="24"/>
        </w:rPr>
        <w:t>Военно</w:t>
      </w:r>
      <w:proofErr w:type="spellEnd"/>
      <w:r w:rsidRPr="00835852">
        <w:rPr>
          <w:sz w:val="24"/>
          <w:szCs w:val="24"/>
        </w:rPr>
        <w:t xml:space="preserve"> - патриотический клуб «</w:t>
      </w:r>
      <w:proofErr w:type="spellStart"/>
      <w:r w:rsidRPr="00835852">
        <w:rPr>
          <w:sz w:val="24"/>
          <w:szCs w:val="24"/>
        </w:rPr>
        <w:t>Варягъ</w:t>
      </w:r>
      <w:proofErr w:type="spellEnd"/>
      <w:r w:rsidRPr="00835852">
        <w:rPr>
          <w:sz w:val="24"/>
          <w:szCs w:val="24"/>
        </w:rPr>
        <w:t>» (проведение семейных занятий по самообороне без оружия);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7. Автономная некоммерческая организация дополнительного образования «Олимп» (развитие дзюдо);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8. Местная общественная организация «Федерация художественной гимнастики»;</w:t>
      </w:r>
    </w:p>
    <w:p w:rsidR="00835852" w:rsidRPr="00835852" w:rsidRDefault="00835852" w:rsidP="008358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852">
        <w:rPr>
          <w:sz w:val="24"/>
          <w:szCs w:val="24"/>
        </w:rPr>
        <w:t>9.</w:t>
      </w:r>
      <w:r w:rsidRPr="00835852">
        <w:rPr>
          <w:rFonts w:eastAsiaTheme="minorHAnsi"/>
          <w:sz w:val="24"/>
          <w:szCs w:val="24"/>
          <w:lang w:eastAsia="en-US"/>
        </w:rPr>
        <w:t xml:space="preserve"> Автономная некоммерческая организация «Спортивно-технический центр»;</w:t>
      </w:r>
    </w:p>
    <w:p w:rsidR="00835852" w:rsidRPr="00835852" w:rsidRDefault="00835852" w:rsidP="008358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852">
        <w:rPr>
          <w:rFonts w:eastAsiaTheme="minorHAnsi"/>
          <w:sz w:val="24"/>
          <w:szCs w:val="24"/>
          <w:lang w:eastAsia="en-US"/>
        </w:rPr>
        <w:t>10.</w:t>
      </w:r>
      <w:r w:rsidRPr="00835852">
        <w:rPr>
          <w:sz w:val="24"/>
          <w:szCs w:val="24"/>
        </w:rPr>
        <w:t xml:space="preserve"> </w:t>
      </w:r>
      <w:r w:rsidRPr="00835852">
        <w:rPr>
          <w:rFonts w:eastAsiaTheme="minorHAnsi"/>
          <w:sz w:val="24"/>
          <w:szCs w:val="24"/>
          <w:lang w:eastAsia="en-US"/>
        </w:rPr>
        <w:t>Некоммерческое партнерство «Мини-футбольный клуб «Газпром-Югра»;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rFonts w:eastAsiaTheme="minorHAnsi"/>
          <w:sz w:val="24"/>
          <w:szCs w:val="24"/>
          <w:lang w:eastAsia="en-US"/>
        </w:rPr>
        <w:t>11.</w:t>
      </w:r>
      <w:r w:rsidRPr="00835852">
        <w:rPr>
          <w:sz w:val="24"/>
          <w:szCs w:val="24"/>
        </w:rPr>
        <w:t xml:space="preserve"> Городская общественная организация «Федерация футбола города Югорска»;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12. Региональное общественное движение «Планета Спорт» ХМАО-Югры;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13. Городская молодежная общественная организация «Федерация спортивного туризма»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14. Региональная общественная организация Ханты-Мансийского автономного округа-Югры «Мотоклуб «Комсомольцы»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 xml:space="preserve">15. Региональная спортивная общественная организация «Федерация </w:t>
      </w:r>
      <w:proofErr w:type="spellStart"/>
      <w:r w:rsidRPr="00835852">
        <w:rPr>
          <w:sz w:val="24"/>
          <w:szCs w:val="24"/>
        </w:rPr>
        <w:t>страйкбола</w:t>
      </w:r>
      <w:proofErr w:type="spellEnd"/>
      <w:r w:rsidRPr="00835852">
        <w:rPr>
          <w:sz w:val="24"/>
          <w:szCs w:val="24"/>
        </w:rPr>
        <w:t>» Ханты-Мансийского автономного округа-Югры</w:t>
      </w:r>
    </w:p>
    <w:p w:rsidR="00835852" w:rsidRPr="00835852" w:rsidRDefault="00835852" w:rsidP="0083585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35852">
        <w:rPr>
          <w:sz w:val="24"/>
          <w:szCs w:val="24"/>
        </w:rPr>
        <w:t>16.</w:t>
      </w:r>
      <w:r w:rsidRPr="00835852">
        <w:rPr>
          <w:rFonts w:eastAsiaTheme="minorHAnsi"/>
          <w:sz w:val="24"/>
          <w:szCs w:val="24"/>
          <w:lang w:eastAsia="en-US"/>
        </w:rPr>
        <w:t xml:space="preserve"> Региональная </w:t>
      </w:r>
      <w:proofErr w:type="spellStart"/>
      <w:r w:rsidRPr="00835852">
        <w:rPr>
          <w:rFonts w:eastAsiaTheme="minorHAnsi"/>
          <w:sz w:val="24"/>
          <w:szCs w:val="24"/>
          <w:lang w:eastAsia="en-US"/>
        </w:rPr>
        <w:t>физкультурно</w:t>
      </w:r>
      <w:proofErr w:type="spellEnd"/>
      <w:r w:rsidRPr="00835852">
        <w:rPr>
          <w:rFonts w:eastAsiaTheme="minorHAnsi"/>
          <w:sz w:val="24"/>
          <w:szCs w:val="24"/>
          <w:lang w:eastAsia="en-US"/>
        </w:rPr>
        <w:t xml:space="preserve"> – спортивная общественная организация «Федерация Тхэквондо ИТФ Ханты – Мансийского автономного округа – Югры».</w:t>
      </w:r>
    </w:p>
    <w:p w:rsidR="00835852" w:rsidRPr="00835852" w:rsidRDefault="00835852" w:rsidP="00835852">
      <w:pPr>
        <w:ind w:firstLine="567"/>
        <w:jc w:val="both"/>
        <w:rPr>
          <w:rFonts w:eastAsiaTheme="minorHAnsi"/>
          <w:color w:val="FF0000"/>
          <w:szCs w:val="24"/>
          <w:lang w:eastAsia="en-US"/>
        </w:rPr>
      </w:pP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 xml:space="preserve">В бюджете города Югорска в 2019 году на предоставление субсидии некоммерческим организациям на организацию и проведение </w:t>
      </w:r>
      <w:r w:rsidRPr="00835852">
        <w:rPr>
          <w:rFonts w:eastAsia="Calibri"/>
          <w:sz w:val="24"/>
          <w:szCs w:val="24"/>
        </w:rPr>
        <w:t>социально</w:t>
      </w:r>
      <w:r w:rsidRPr="00835852">
        <w:rPr>
          <w:sz w:val="24"/>
          <w:szCs w:val="24"/>
        </w:rPr>
        <w:t xml:space="preserve"> </w:t>
      </w:r>
      <w:r w:rsidRPr="00835852">
        <w:rPr>
          <w:rFonts w:eastAsia="Calibri"/>
          <w:sz w:val="24"/>
          <w:szCs w:val="24"/>
        </w:rPr>
        <w:t>значимых общественных мероприятий и (или) проектов</w:t>
      </w:r>
      <w:r w:rsidRPr="00835852">
        <w:rPr>
          <w:sz w:val="24"/>
          <w:szCs w:val="24"/>
        </w:rPr>
        <w:t xml:space="preserve"> была предусмотрена в размере 90 000 рублей на проведение спортивно - массовых мероприятий. Денежные средства были выделены на </w:t>
      </w:r>
      <w:proofErr w:type="gramStart"/>
      <w:r w:rsidRPr="00835852">
        <w:rPr>
          <w:sz w:val="24"/>
          <w:szCs w:val="24"/>
        </w:rPr>
        <w:t>основании</w:t>
      </w:r>
      <w:proofErr w:type="gramEnd"/>
      <w:r w:rsidRPr="00835852">
        <w:rPr>
          <w:sz w:val="24"/>
          <w:szCs w:val="24"/>
        </w:rPr>
        <w:t xml:space="preserve"> проведенных конкурсов и направлены на проведение:</w:t>
      </w:r>
    </w:p>
    <w:p w:rsidR="00835852" w:rsidRPr="00835852" w:rsidRDefault="00835852" w:rsidP="00835852">
      <w:pPr>
        <w:ind w:firstLine="567"/>
        <w:jc w:val="both"/>
        <w:rPr>
          <w:sz w:val="24"/>
          <w:szCs w:val="24"/>
        </w:rPr>
      </w:pPr>
      <w:r w:rsidRPr="00835852">
        <w:rPr>
          <w:sz w:val="24"/>
          <w:szCs w:val="24"/>
        </w:rPr>
        <w:t>1. «</w:t>
      </w:r>
      <w:r w:rsidRPr="00835852">
        <w:rPr>
          <w:spacing w:val="-8"/>
          <w:sz w:val="24"/>
          <w:szCs w:val="24"/>
        </w:rPr>
        <w:t>Открытого Первенства города Югорска по художественной гимнастике (Фестиваль гимнастических видов спорта). По результатам конкурса -</w:t>
      </w:r>
      <w:r w:rsidRPr="00835852">
        <w:rPr>
          <w:sz w:val="24"/>
          <w:szCs w:val="24"/>
        </w:rPr>
        <w:t xml:space="preserve"> Местная общественная организация «Федерация художественной гимнастики города Югорска». Грант в размере 75 000,0 рублей. Количество участников составило – 135 человек.</w:t>
      </w:r>
    </w:p>
    <w:p w:rsidR="00835852" w:rsidRPr="00835852" w:rsidRDefault="00835852" w:rsidP="00835852">
      <w:pPr>
        <w:ind w:firstLine="567"/>
        <w:jc w:val="both"/>
        <w:rPr>
          <w:spacing w:val="-8"/>
          <w:sz w:val="24"/>
          <w:szCs w:val="24"/>
        </w:rPr>
      </w:pPr>
      <w:r w:rsidRPr="00835852">
        <w:rPr>
          <w:sz w:val="24"/>
          <w:szCs w:val="24"/>
        </w:rPr>
        <w:t>2. «</w:t>
      </w:r>
      <w:r w:rsidRPr="00835852">
        <w:rPr>
          <w:spacing w:val="-8"/>
          <w:sz w:val="24"/>
          <w:szCs w:val="24"/>
        </w:rPr>
        <w:t xml:space="preserve">Открытое Первенство города Югорска по стрельбе из лука» - </w:t>
      </w:r>
      <w:r w:rsidRPr="00835852">
        <w:rPr>
          <w:sz w:val="24"/>
          <w:szCs w:val="24"/>
        </w:rPr>
        <w:t>некоммерческое партнерство стрелковый клуб «Патриот». Грант в размере 15 000,0 рублей. Количество участников – 26 человек.</w:t>
      </w:r>
      <w:r w:rsidRPr="00835852">
        <w:rPr>
          <w:spacing w:val="-8"/>
          <w:sz w:val="24"/>
          <w:szCs w:val="24"/>
        </w:rPr>
        <w:t xml:space="preserve">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5852">
        <w:rPr>
          <w:rFonts w:ascii="Times New Roman" w:hAnsi="Times New Roman"/>
          <w:color w:val="000000"/>
          <w:sz w:val="24"/>
          <w:szCs w:val="24"/>
        </w:rPr>
        <w:t xml:space="preserve">В 2020 году планируется  передача финансовых средств в сумме </w:t>
      </w:r>
      <w:r w:rsidRPr="00835852">
        <w:rPr>
          <w:rFonts w:ascii="Times New Roman" w:hAnsi="Times New Roman"/>
          <w:sz w:val="24"/>
          <w:szCs w:val="24"/>
        </w:rPr>
        <w:t>530 000,0 рублей на реализацию услуги «Спортивная подготовка по неолимпийским видам спорта  (</w:t>
      </w:r>
      <w:proofErr w:type="gramStart"/>
      <w:r w:rsidRPr="00835852">
        <w:rPr>
          <w:rFonts w:ascii="Times New Roman" w:hAnsi="Times New Roman"/>
          <w:sz w:val="24"/>
          <w:szCs w:val="24"/>
        </w:rPr>
        <w:t>мотоциклетный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спорт)»</w:t>
      </w:r>
      <w:r w:rsidRPr="00835852">
        <w:rPr>
          <w:rFonts w:ascii="Times New Roman" w:hAnsi="Times New Roman"/>
          <w:color w:val="000000"/>
          <w:sz w:val="24"/>
          <w:szCs w:val="24"/>
        </w:rPr>
        <w:t xml:space="preserve"> на основании проведенного конкурса среди СО НКО.</w:t>
      </w:r>
    </w:p>
    <w:p w:rsidR="00835852" w:rsidRPr="00835852" w:rsidRDefault="00835852" w:rsidP="00835852">
      <w:pPr>
        <w:ind w:firstLine="567"/>
        <w:jc w:val="both"/>
        <w:rPr>
          <w:spacing w:val="-8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Style w:val="winner-infolist-item-text"/>
          <w:rFonts w:ascii="Times New Roman" w:hAnsi="Times New Roman"/>
          <w:i/>
          <w:sz w:val="24"/>
          <w:szCs w:val="24"/>
        </w:rPr>
      </w:pPr>
      <w:r w:rsidRPr="00835852">
        <w:rPr>
          <w:rStyle w:val="winner-infolist-item-tex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5852">
        <w:rPr>
          <w:rStyle w:val="winner-infolist-item-text"/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835852">
        <w:rPr>
          <w:rStyle w:val="winner-infolist-item-text"/>
          <w:rFonts w:ascii="Times New Roman" w:hAnsi="Times New Roman"/>
          <w:i/>
          <w:sz w:val="24"/>
          <w:szCs w:val="24"/>
        </w:rPr>
        <w:t>: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5852">
        <w:rPr>
          <w:rStyle w:val="winner-infolist-item-text"/>
          <w:rFonts w:ascii="Times New Roman" w:hAnsi="Times New Roman"/>
          <w:sz w:val="24"/>
          <w:szCs w:val="24"/>
        </w:rPr>
        <w:t>В 2019 году проект</w:t>
      </w:r>
      <w:r w:rsidRPr="00835852">
        <w:rPr>
          <w:rFonts w:ascii="Times New Roman" w:hAnsi="Times New Roman"/>
          <w:sz w:val="24"/>
          <w:szCs w:val="24"/>
        </w:rPr>
        <w:t xml:space="preserve"> «Физкультурно-спортивная деятельность как средство адаптации к социуму детей группы риска»</w:t>
      </w:r>
      <w:r w:rsidRPr="00835852">
        <w:rPr>
          <w:rStyle w:val="winner-infolist-item-text"/>
          <w:rFonts w:ascii="Times New Roman" w:hAnsi="Times New Roman"/>
          <w:sz w:val="24"/>
          <w:szCs w:val="24"/>
        </w:rPr>
        <w:t xml:space="preserve"> автономной некоммерческой организации «Военно-патриотический клуб «Варяг» </w:t>
      </w:r>
      <w:r w:rsidRPr="00835852">
        <w:rPr>
          <w:rFonts w:ascii="Times New Roman" w:hAnsi="Times New Roman"/>
          <w:sz w:val="24"/>
          <w:szCs w:val="24"/>
        </w:rPr>
        <w:t xml:space="preserve"> получил Грант Губернатора  ХМАО-Югры в р</w:t>
      </w: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азмере  199 591,0 рублей.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5852">
        <w:rPr>
          <w:rFonts w:ascii="Times New Roman" w:hAnsi="Times New Roman"/>
          <w:color w:val="000000"/>
          <w:sz w:val="24"/>
          <w:szCs w:val="24"/>
        </w:rPr>
        <w:t xml:space="preserve">В июне 2019 года в городе прошел конкурс на предоставление субсидии социально – ориентированным некоммерческим организациям, не являющимся государственными (муниципальными) учреждениями, на организацию и проведение культурно – массовых мероприятий. </w:t>
      </w:r>
      <w:r w:rsidRPr="00835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региональной </w:t>
      </w:r>
      <w:proofErr w:type="spellStart"/>
      <w:r w:rsidRPr="00835852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835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спортивной общественной организации «Федерация Тхэквондо ИТФ Ханты – Мансийского автономного округа – Югры» на период 2019 – 2020 годы «День без тренировок – потерянный день», заняла 1-е место и получила Грант на реализацию в размере 96 500 (девяносто шесть тысяч пятьсот) рублей.</w:t>
      </w:r>
    </w:p>
    <w:p w:rsidR="00835852" w:rsidRPr="00835852" w:rsidRDefault="00835852" w:rsidP="00835852">
      <w:pPr>
        <w:ind w:firstLine="567"/>
        <w:jc w:val="both"/>
        <w:rPr>
          <w:spacing w:val="-8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eastAsia="Arial" w:hAnsi="Times New Roman"/>
          <w:spacing w:val="-8"/>
          <w:sz w:val="24"/>
          <w:szCs w:val="24"/>
        </w:rPr>
      </w:pPr>
      <w:r w:rsidRPr="00835852">
        <w:rPr>
          <w:rFonts w:ascii="Times New Roman" w:eastAsia="Arial" w:hAnsi="Times New Roman"/>
          <w:spacing w:val="-8"/>
          <w:sz w:val="24"/>
          <w:szCs w:val="24"/>
        </w:rPr>
        <w:lastRenderedPageBreak/>
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спортивных соревнований.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835852">
        <w:rPr>
          <w:rFonts w:ascii="Times New Roman" w:eastAsia="Arial" w:hAnsi="Times New Roman"/>
          <w:spacing w:val="-8"/>
          <w:sz w:val="24"/>
          <w:szCs w:val="24"/>
        </w:rPr>
        <w:t xml:space="preserve">Сфера физической культуры и спорта в городе Югорске имеет положительную динамику, улучшается база спортивных сооружений, ежегодно отмечается рост количества занимающихся, </w:t>
      </w:r>
      <w:proofErr w:type="spellStart"/>
      <w:r w:rsidRPr="00835852">
        <w:rPr>
          <w:rFonts w:ascii="Times New Roman" w:eastAsia="Arial" w:hAnsi="Times New Roman"/>
          <w:spacing w:val="-8"/>
          <w:sz w:val="24"/>
          <w:szCs w:val="24"/>
        </w:rPr>
        <w:t>югорские</w:t>
      </w:r>
      <w:proofErr w:type="spellEnd"/>
      <w:r w:rsidRPr="00835852">
        <w:rPr>
          <w:rFonts w:ascii="Times New Roman" w:eastAsia="Arial" w:hAnsi="Times New Roman"/>
          <w:spacing w:val="-8"/>
          <w:sz w:val="24"/>
          <w:szCs w:val="24"/>
        </w:rPr>
        <w:t xml:space="preserve"> спортсмены успешно участвуют в соревнованиях различного уровня.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2">
        <w:rPr>
          <w:rFonts w:ascii="Times New Roman" w:hAnsi="Times New Roman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«Развитие физической культуры и спорта»,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спорта», которое занимается непосредственно полномочиями по выполнению муниципальных услуг (работ) по физической культуре и спорту.  </w:t>
      </w:r>
      <w:proofErr w:type="gramEnd"/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- повышение мотивации всех возрастных категорий и социальных групп граждан к регулярным занятиям физической культурой и массовым спортом;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обеспечение доступа жителям города Югорска к современной спортивной инфраструктуре;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создание условий для успешного выступления спортсменов города Югорска на официальных </w:t>
      </w:r>
      <w:proofErr w:type="gramStart"/>
      <w:r w:rsidRPr="00835852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835852">
        <w:rPr>
          <w:rFonts w:ascii="Times New Roman" w:hAnsi="Times New Roman"/>
          <w:sz w:val="24"/>
          <w:szCs w:val="24"/>
        </w:rPr>
        <w:t xml:space="preserve"> различного уровня;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- популяризация спорта. 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835852"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83585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мини — футбол; бокс; спортивная аэробика; пауэрлифтинг; теннис; дзюдо; волейбол; баскетбол; пулевая стрельба; авиамодельный спорт; хоккей; гимнастика).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 xml:space="preserve">2. Обеспечение успешного выступления спортсменов города Югорска на официальных окружных, всероссийских и международных спортивных </w:t>
      </w:r>
      <w:proofErr w:type="gramStart"/>
      <w:r w:rsidRPr="00835852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835852">
        <w:rPr>
          <w:rFonts w:ascii="Times New Roman" w:hAnsi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835852" w:rsidRPr="00835852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2">
        <w:rPr>
          <w:rFonts w:ascii="Times New Roman" w:hAnsi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835852" w:rsidRPr="00236CF3" w:rsidRDefault="00835852" w:rsidP="00835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852">
        <w:rPr>
          <w:rFonts w:ascii="Times New Roman" w:hAnsi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835852" w:rsidRDefault="00835852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97" w:rsidRDefault="00393213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BC2297">
        <w:rPr>
          <w:rFonts w:ascii="Times New Roman" w:hAnsi="Times New Roman" w:cs="Times New Roman"/>
          <w:b/>
          <w:sz w:val="24"/>
          <w:szCs w:val="24"/>
        </w:rPr>
        <w:t xml:space="preserve"> социальной политики</w:t>
      </w:r>
    </w:p>
    <w:p w:rsidR="00393213" w:rsidRPr="009B3E74" w:rsidRDefault="00BC2297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 w:rsidR="00393213" w:rsidRPr="009B3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В.М. Бурматов</w:t>
      </w:r>
    </w:p>
    <w:p w:rsidR="00BC2297" w:rsidRDefault="00BC229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93213" w:rsidRPr="009B3E74" w:rsidRDefault="00393213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3E74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4D22F8" w:rsidRDefault="00BC2297" w:rsidP="00634C57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О</w:t>
      </w:r>
      <w:r w:rsidR="00393213" w:rsidRPr="009B3E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93213" w:rsidRPr="009B3E7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Самсоненко</w:t>
      </w:r>
      <w:r w:rsidR="00393213" w:rsidRPr="009B3E74">
        <w:rPr>
          <w:rFonts w:ascii="Times New Roman" w:hAnsi="Times New Roman" w:cs="Times New Roman"/>
          <w:sz w:val="20"/>
          <w:szCs w:val="20"/>
        </w:rPr>
        <w:t>, тел.: 8(34675) 5-00-24 (198)</w:t>
      </w:r>
      <w:r w:rsidR="00393213" w:rsidRPr="009B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22F8" w:rsidSect="00634C57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AA"/>
    <w:multiLevelType w:val="hybridMultilevel"/>
    <w:tmpl w:val="D37823BA"/>
    <w:lvl w:ilvl="0" w:tplc="68480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A368D9"/>
    <w:multiLevelType w:val="hybridMultilevel"/>
    <w:tmpl w:val="C7B4C6D6"/>
    <w:lvl w:ilvl="0" w:tplc="F67ECB90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D41946"/>
    <w:multiLevelType w:val="hybridMultilevel"/>
    <w:tmpl w:val="7750DE4E"/>
    <w:lvl w:ilvl="0" w:tplc="ECDA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D86"/>
    <w:multiLevelType w:val="multilevel"/>
    <w:tmpl w:val="796E16D0"/>
    <w:lvl w:ilvl="0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5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B547EE7"/>
    <w:multiLevelType w:val="hybridMultilevel"/>
    <w:tmpl w:val="793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26BA"/>
    <w:multiLevelType w:val="hybridMultilevel"/>
    <w:tmpl w:val="A508C9E6"/>
    <w:lvl w:ilvl="0" w:tplc="0F22E4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71011E"/>
    <w:multiLevelType w:val="hybridMultilevel"/>
    <w:tmpl w:val="B1A4735E"/>
    <w:lvl w:ilvl="0" w:tplc="CA84E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F57E9B"/>
    <w:multiLevelType w:val="hybridMultilevel"/>
    <w:tmpl w:val="2A36ABCC"/>
    <w:lvl w:ilvl="0" w:tplc="6B5AC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72A1"/>
    <w:multiLevelType w:val="hybridMultilevel"/>
    <w:tmpl w:val="C3EA6648"/>
    <w:lvl w:ilvl="0" w:tplc="32241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A0ABB"/>
    <w:multiLevelType w:val="hybridMultilevel"/>
    <w:tmpl w:val="6326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A12"/>
    <w:multiLevelType w:val="hybridMultilevel"/>
    <w:tmpl w:val="EBBE65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DFD05B3"/>
    <w:multiLevelType w:val="multilevel"/>
    <w:tmpl w:val="06C4D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860FB"/>
    <w:multiLevelType w:val="multilevel"/>
    <w:tmpl w:val="E5465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51F04B3"/>
    <w:multiLevelType w:val="hybridMultilevel"/>
    <w:tmpl w:val="F8C65EEA"/>
    <w:lvl w:ilvl="0" w:tplc="81787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41CBC"/>
    <w:multiLevelType w:val="hybridMultilevel"/>
    <w:tmpl w:val="4E3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9"/>
    <w:rsid w:val="00103F12"/>
    <w:rsid w:val="001440F5"/>
    <w:rsid w:val="001906B9"/>
    <w:rsid w:val="001919BB"/>
    <w:rsid w:val="00215D50"/>
    <w:rsid w:val="00393213"/>
    <w:rsid w:val="004B2CF3"/>
    <w:rsid w:val="004D22F8"/>
    <w:rsid w:val="00612C42"/>
    <w:rsid w:val="0061430A"/>
    <w:rsid w:val="00634C57"/>
    <w:rsid w:val="006C7155"/>
    <w:rsid w:val="006E448D"/>
    <w:rsid w:val="00731CC8"/>
    <w:rsid w:val="00835852"/>
    <w:rsid w:val="00844939"/>
    <w:rsid w:val="00934397"/>
    <w:rsid w:val="009A501D"/>
    <w:rsid w:val="00BC2297"/>
    <w:rsid w:val="00CA175F"/>
    <w:rsid w:val="00D04C01"/>
    <w:rsid w:val="00D136A4"/>
    <w:rsid w:val="00DA18F2"/>
    <w:rsid w:val="00DC3B51"/>
    <w:rsid w:val="00E25CB6"/>
    <w:rsid w:val="00ED0C57"/>
    <w:rsid w:val="00F02285"/>
    <w:rsid w:val="00F06D39"/>
    <w:rsid w:val="00F252FF"/>
    <w:rsid w:val="00F9028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1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7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3932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3213"/>
  </w:style>
  <w:style w:type="table" w:styleId="a5">
    <w:name w:val="Table Grid"/>
    <w:basedOn w:val="a1"/>
    <w:uiPriority w:val="59"/>
    <w:rsid w:val="006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155"/>
    <w:pPr>
      <w:ind w:left="720"/>
      <w:contextualSpacing/>
    </w:pPr>
    <w:rPr>
      <w:rFonts w:ascii="Calibri" w:eastAsia="Calibri" w:hAnsi="Calibri"/>
    </w:rPr>
  </w:style>
  <w:style w:type="character" w:customStyle="1" w:styleId="FontStyle28">
    <w:name w:val="Font Style28"/>
    <w:uiPriority w:val="99"/>
    <w:rsid w:val="00F06D3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31CC8"/>
    <w:pPr>
      <w:suppressAutoHyphens/>
      <w:jc w:val="center"/>
    </w:pPr>
    <w:rPr>
      <w:b/>
      <w:sz w:val="34"/>
      <w:szCs w:val="24"/>
    </w:rPr>
  </w:style>
  <w:style w:type="paragraph" w:customStyle="1" w:styleId="210">
    <w:name w:val="Основной текст с отступом 21"/>
    <w:basedOn w:val="a"/>
    <w:rsid w:val="00731CC8"/>
    <w:pPr>
      <w:suppressAutoHyphens/>
      <w:spacing w:after="120" w:line="480" w:lineRule="auto"/>
      <w:ind w:left="283"/>
    </w:pPr>
    <w:rPr>
      <w:sz w:val="24"/>
      <w:szCs w:val="24"/>
    </w:rPr>
  </w:style>
  <w:style w:type="character" w:styleId="a7">
    <w:name w:val="Strong"/>
    <w:qFormat/>
    <w:rsid w:val="00731CC8"/>
    <w:rPr>
      <w:b/>
      <w:bCs/>
    </w:rPr>
  </w:style>
  <w:style w:type="paragraph" w:customStyle="1" w:styleId="1">
    <w:name w:val="Текст1"/>
    <w:basedOn w:val="a"/>
    <w:rsid w:val="00731CC8"/>
    <w:pPr>
      <w:widowControl w:val="0"/>
      <w:suppressAutoHyphens/>
    </w:pPr>
    <w:rPr>
      <w:rFonts w:ascii="Courier New" w:eastAsia="Andale Sans UI" w:hAnsi="Courier New" w:cs="Courier New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731CC8"/>
    <w:pPr>
      <w:suppressAutoHyphens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31CC8"/>
  </w:style>
  <w:style w:type="character" w:styleId="aa">
    <w:name w:val="Hyperlink"/>
    <w:basedOn w:val="a0"/>
    <w:uiPriority w:val="99"/>
    <w:semiHidden/>
    <w:unhideWhenUsed/>
    <w:rsid w:val="00731C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31CC8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31CC8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31CC8"/>
  </w:style>
  <w:style w:type="paragraph" w:customStyle="1" w:styleId="ConsPlusCell">
    <w:name w:val="ConsPlusCell"/>
    <w:uiPriority w:val="99"/>
    <w:rsid w:val="0073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83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1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7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3932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93213"/>
  </w:style>
  <w:style w:type="table" w:styleId="a5">
    <w:name w:val="Table Grid"/>
    <w:basedOn w:val="a1"/>
    <w:uiPriority w:val="59"/>
    <w:rsid w:val="006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155"/>
    <w:pPr>
      <w:ind w:left="720"/>
      <w:contextualSpacing/>
    </w:pPr>
    <w:rPr>
      <w:rFonts w:ascii="Calibri" w:eastAsia="Calibri" w:hAnsi="Calibri"/>
    </w:rPr>
  </w:style>
  <w:style w:type="character" w:customStyle="1" w:styleId="FontStyle28">
    <w:name w:val="Font Style28"/>
    <w:uiPriority w:val="99"/>
    <w:rsid w:val="00F06D3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31CC8"/>
    <w:pPr>
      <w:suppressAutoHyphens/>
      <w:jc w:val="center"/>
    </w:pPr>
    <w:rPr>
      <w:b/>
      <w:sz w:val="34"/>
      <w:szCs w:val="24"/>
    </w:rPr>
  </w:style>
  <w:style w:type="paragraph" w:customStyle="1" w:styleId="210">
    <w:name w:val="Основной текст с отступом 21"/>
    <w:basedOn w:val="a"/>
    <w:rsid w:val="00731CC8"/>
    <w:pPr>
      <w:suppressAutoHyphens/>
      <w:spacing w:after="120" w:line="480" w:lineRule="auto"/>
      <w:ind w:left="283"/>
    </w:pPr>
    <w:rPr>
      <w:sz w:val="24"/>
      <w:szCs w:val="24"/>
    </w:rPr>
  </w:style>
  <w:style w:type="character" w:styleId="a7">
    <w:name w:val="Strong"/>
    <w:qFormat/>
    <w:rsid w:val="00731CC8"/>
    <w:rPr>
      <w:b/>
      <w:bCs/>
    </w:rPr>
  </w:style>
  <w:style w:type="paragraph" w:customStyle="1" w:styleId="1">
    <w:name w:val="Текст1"/>
    <w:basedOn w:val="a"/>
    <w:rsid w:val="00731CC8"/>
    <w:pPr>
      <w:widowControl w:val="0"/>
      <w:suppressAutoHyphens/>
    </w:pPr>
    <w:rPr>
      <w:rFonts w:ascii="Courier New" w:eastAsia="Andale Sans UI" w:hAnsi="Courier New" w:cs="Courier New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731CC8"/>
    <w:pPr>
      <w:suppressAutoHyphens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31CC8"/>
  </w:style>
  <w:style w:type="character" w:styleId="aa">
    <w:name w:val="Hyperlink"/>
    <w:basedOn w:val="a0"/>
    <w:uiPriority w:val="99"/>
    <w:semiHidden/>
    <w:unhideWhenUsed/>
    <w:rsid w:val="00731C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31CC8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31CC8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31CC8"/>
  </w:style>
  <w:style w:type="paragraph" w:customStyle="1" w:styleId="ConsPlusCell">
    <w:name w:val="ConsPlusCell"/>
    <w:uiPriority w:val="99"/>
    <w:rsid w:val="0073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83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18</cp:revision>
  <dcterms:created xsi:type="dcterms:W3CDTF">2019-02-04T10:01:00Z</dcterms:created>
  <dcterms:modified xsi:type="dcterms:W3CDTF">2020-01-24T06:07:00Z</dcterms:modified>
</cp:coreProperties>
</file>