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2" w:rsidRDefault="003D340A" w:rsidP="003D340A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bookmarkStart w:id="0" w:name="sub_1"/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9F637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="002C4C52">
        <w:rPr>
          <w:b/>
          <w:sz w:val="24"/>
          <w:szCs w:val="24"/>
        </w:rPr>
        <w:t>Приложение</w:t>
      </w:r>
      <w:r w:rsidR="009D4C6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к</w:t>
      </w:r>
      <w:r w:rsidR="002C4C52">
        <w:rPr>
          <w:b/>
          <w:sz w:val="24"/>
          <w:szCs w:val="24"/>
        </w:rPr>
        <w:t xml:space="preserve"> </w:t>
      </w:r>
      <w:r w:rsidR="009D4C6E">
        <w:rPr>
          <w:b/>
          <w:sz w:val="24"/>
          <w:szCs w:val="24"/>
        </w:rPr>
        <w:t>приказу</w:t>
      </w:r>
    </w:p>
    <w:p w:rsidR="002C4C52" w:rsidRDefault="001672B4" w:rsidP="002C4C52">
      <w:pPr>
        <w:autoSpaceDE w:val="0"/>
        <w:autoSpaceDN w:val="0"/>
        <w:adjustRightInd w:val="0"/>
        <w:ind w:right="-2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</w:t>
      </w:r>
      <w:r w:rsidR="009D4C6E">
        <w:rPr>
          <w:b/>
          <w:sz w:val="24"/>
          <w:szCs w:val="24"/>
        </w:rPr>
        <w:t>5</w:t>
      </w:r>
      <w:r w:rsidR="003D340A">
        <w:rPr>
          <w:b/>
          <w:sz w:val="24"/>
          <w:szCs w:val="24"/>
        </w:rPr>
        <w:t>.09.</w:t>
      </w:r>
      <w:r>
        <w:rPr>
          <w:b/>
          <w:sz w:val="24"/>
          <w:szCs w:val="24"/>
        </w:rPr>
        <w:t>20</w:t>
      </w:r>
      <w:r w:rsidR="003D340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№ </w:t>
      </w:r>
      <w:r w:rsidR="003D340A">
        <w:rPr>
          <w:b/>
          <w:sz w:val="24"/>
          <w:szCs w:val="24"/>
        </w:rPr>
        <w:t>306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340A" w:rsidRDefault="003D340A" w:rsidP="002C4C5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2C4C52" w:rsidRDefault="009F6373" w:rsidP="002C4C52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D4C6E">
        <w:rPr>
          <w:b/>
          <w:sz w:val="24"/>
          <w:szCs w:val="24"/>
        </w:rPr>
        <w:t>сновны</w:t>
      </w:r>
      <w:r>
        <w:rPr>
          <w:b/>
          <w:sz w:val="24"/>
          <w:szCs w:val="24"/>
        </w:rPr>
        <w:t>е</w:t>
      </w:r>
      <w:r w:rsidR="002C4C52">
        <w:rPr>
          <w:b/>
          <w:sz w:val="24"/>
          <w:szCs w:val="24"/>
        </w:rPr>
        <w:t xml:space="preserve"> направлени</w:t>
      </w:r>
      <w:r w:rsidR="003D340A">
        <w:rPr>
          <w:b/>
          <w:sz w:val="24"/>
          <w:szCs w:val="24"/>
        </w:rPr>
        <w:t>я</w:t>
      </w:r>
      <w:r w:rsidR="002C4C52">
        <w:rPr>
          <w:b/>
          <w:sz w:val="24"/>
          <w:szCs w:val="24"/>
        </w:rPr>
        <w:t xml:space="preserve"> </w:t>
      </w:r>
      <w:proofErr w:type="spellStart"/>
      <w:r w:rsidR="002C4C52">
        <w:rPr>
          <w:b/>
          <w:sz w:val="24"/>
          <w:szCs w:val="24"/>
        </w:rPr>
        <w:t>антикоррупционной</w:t>
      </w:r>
      <w:proofErr w:type="spellEnd"/>
      <w:r w:rsidR="002C4C52">
        <w:rPr>
          <w:b/>
          <w:sz w:val="24"/>
          <w:szCs w:val="24"/>
        </w:rPr>
        <w:t xml:space="preserve"> деятельности в муниципальн</w:t>
      </w:r>
      <w:r>
        <w:rPr>
          <w:b/>
          <w:sz w:val="24"/>
          <w:szCs w:val="24"/>
        </w:rPr>
        <w:t>ом</w:t>
      </w:r>
      <w:r w:rsidR="002C4C52">
        <w:rPr>
          <w:b/>
          <w:sz w:val="24"/>
          <w:szCs w:val="24"/>
        </w:rPr>
        <w:t xml:space="preserve"> </w:t>
      </w:r>
      <w:r w:rsidR="009D4C6E">
        <w:rPr>
          <w:b/>
          <w:sz w:val="24"/>
          <w:szCs w:val="24"/>
        </w:rPr>
        <w:t xml:space="preserve">бюджетном </w:t>
      </w:r>
      <w:r w:rsidR="002C4C52">
        <w:rPr>
          <w:b/>
          <w:sz w:val="24"/>
          <w:szCs w:val="24"/>
        </w:rPr>
        <w:t>учреждени</w:t>
      </w:r>
      <w:r w:rsidR="009D4C6E">
        <w:rPr>
          <w:b/>
          <w:sz w:val="24"/>
          <w:szCs w:val="24"/>
        </w:rPr>
        <w:t>и дополнительного образования «Детско-юношеский центр «Прометей»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Основные принципы противодействия коррупции </w:t>
      </w:r>
      <w:proofErr w:type="gramStart"/>
      <w:r>
        <w:rPr>
          <w:sz w:val="24"/>
          <w:szCs w:val="24"/>
        </w:rPr>
        <w:t>в</w:t>
      </w:r>
      <w:proofErr w:type="gramEnd"/>
    </w:p>
    <w:p w:rsidR="002C4C52" w:rsidRDefault="003D340A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ДЮЦ «Прометей»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Противодействие коррупции в организациях основывается на принципах: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соответствия политики организации действующему законодательству и общепринятым нормам;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личного примера руководства;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вовлеченности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соразмерности антикоррупционных процедур риску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эффективности антикоррупционных процедур;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ответственности и неотвратимости наказания;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постоянного контроля и регулярного мониторинга.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II. Организация антикоррупционной деятельности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в нормативных документах, устанавливающих антикоррупционные процедуры;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трудовых договорах и должностных инструкциях ответственных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 положении о подразделении, ответственном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Обязанности структурного подразделения или должностных лиц, ответственных за противодействие коррупции, включают в себя: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организацию проведения оценки коррупционных рисков;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организацию заполнения и рассмотрения декларации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III. Направления антикоррупционной деятельности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Установление обязанностей работников и организации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предупреждению и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В целях предупреждения и противодействия коррупции все работники организации обязаны: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Как общие, так и специальные обязанности включаются в трудовой договор работника.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коррупционных рисков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sz w:val="24"/>
          <w:szCs w:val="24"/>
        </w:rPr>
        <w:t>правонарушений</w:t>
      </w:r>
      <w:proofErr w:type="gramEnd"/>
      <w:r>
        <w:rPr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Оценка коррупционных рисков проводится по следующему алгоритму: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для каждого процесса определяются элементы (</w:t>
      </w:r>
      <w:proofErr w:type="spellStart"/>
      <w:r>
        <w:rPr>
          <w:sz w:val="24"/>
          <w:szCs w:val="24"/>
        </w:rPr>
        <w:t>подпроцессы</w:t>
      </w:r>
      <w:proofErr w:type="spellEnd"/>
      <w:r>
        <w:rPr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для каждого </w:t>
      </w:r>
      <w:proofErr w:type="spellStart"/>
      <w:r>
        <w:rPr>
          <w:sz w:val="24"/>
          <w:szCs w:val="24"/>
        </w:rPr>
        <w:t>подпроцесса</w:t>
      </w:r>
      <w:proofErr w:type="spellEnd"/>
      <w:r>
        <w:rPr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вероятные формы осуществления коррупционных платежей;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д) формируется перечень должностей, связанных с высоким коррупционным риском;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C4C52" w:rsidRDefault="002C4C52" w:rsidP="002C4C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Выявление и урегулирование конфликта интересов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В основу работы по управлению конфликтом интересов в организации положены следующие принципы: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обязательность раскрытия сведений о реальном или потенциальном конфликте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индивидуальное рассмотрение и оценка </w:t>
      </w:r>
      <w:proofErr w:type="spellStart"/>
      <w:r>
        <w:rPr>
          <w:sz w:val="24"/>
          <w:szCs w:val="24"/>
        </w:rPr>
        <w:t>репутационных</w:t>
      </w:r>
      <w:proofErr w:type="spellEnd"/>
      <w:r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конфиденциальность процесса раскрытия сведений о конфликте интересов и процесса его урегулирования;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соблюдение баланса интересов организации и работника при урегулировании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Понятие «конфликт интересов» применительно к организациям закреплено в статье 10 Федерального закона от 25.12.2008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 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– кодекс этики).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Положение о конфликте интересов – это локальный нормативный акт организации, устанавливающий порядок выявления и урегулирования конфликта интересов, возникающего у </w:t>
      </w:r>
      <w:r>
        <w:rPr>
          <w:sz w:val="24"/>
          <w:szCs w:val="24"/>
        </w:rPr>
        <w:lastRenderedPageBreak/>
        <w:t>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цели и задачи положения о конфликте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используемые в положении понятия и определения;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круг лиц, на которых оно распространяет свое действие;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основные принципы управления конфликтом интересов в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обязанности работников в связи с раскрытием и урегулированием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определение лиц, ответственных за прием сведений о конфликте интересов, и рассмотрение этих сведений;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ответственность работников за несоблюдение положения о конфликте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При принятии решений по деловым вопросам и выполнении своих трудовых обязанностей работники организации обязаны: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руководствоваться интересами организации без учета своих личных интересов, интересов своих родственников и друзей;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избегать ситуаций и обстоятельств, которые могут привести к конфликту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раскрывать возникший (реальный) или потенциальный конфликт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содействовать урегулированию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 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Раскрытие осуществляется в письменной форме.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15. Информация о возможности возникновения конфликта интересов (декларация конфликта интересов) представляется: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 приеме на работу;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при назначении на новую должность;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 ходе проведения ежегодных аттестаций на соблюдение этических норм ведения бизнеса, принятых в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по мере возникновения ситуации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ограничения доступа работника к конкретной информации, которая может затрагивать личные интересы работника;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пересмотра и изменения функциональных обязанностей работника;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 передачи работником принадлежащего ему имущества, являющегося причиной конфликта интересов, в доверительное управление;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отказа работника от своего личного интереса, порождающего конфликт с интересами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8) увольнения работника по собственной инициативе;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Разработка и внедрение в практику стандартов и процедур,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направленных</w:t>
      </w:r>
      <w:proofErr w:type="gramEnd"/>
      <w:r>
        <w:rPr>
          <w:sz w:val="24"/>
          <w:szCs w:val="24"/>
        </w:rPr>
        <w:t xml:space="preserve"> на обеспечение добросовестной работы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17. 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Консультирование и обучение работников организации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При организации </w:t>
      </w:r>
      <w:proofErr w:type="gramStart"/>
      <w:r>
        <w:rPr>
          <w:sz w:val="24"/>
          <w:szCs w:val="24"/>
        </w:rPr>
        <w:t>обучения работников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19. 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20. Виды обучения в зависимости от времени его проведения: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обучение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Внутренний контроль и аудит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22. 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контроль документирования операций хозяйственной деятельности организации;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проверку экономической обоснованности осуществляемых операций в сферах коррупционного риска.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</w:t>
      </w:r>
      <w:r>
        <w:rPr>
          <w:sz w:val="24"/>
          <w:szCs w:val="24"/>
        </w:rPr>
        <w:lastRenderedPageBreak/>
        <w:t>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– индикаторы неправомерных действий: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оплата услуг, характер которых не определен либо вызывает сомнения;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закупки или продажи по ценам, значительно отличающимся от </w:t>
      </w:r>
      <w:proofErr w:type="gramStart"/>
      <w:r>
        <w:rPr>
          <w:sz w:val="24"/>
          <w:szCs w:val="24"/>
        </w:rPr>
        <w:t>рыночных</w:t>
      </w:r>
      <w:proofErr w:type="gramEnd"/>
      <w:r>
        <w:rPr>
          <w:sz w:val="24"/>
          <w:szCs w:val="24"/>
        </w:rPr>
        <w:t>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сомнительные платежи наличными.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 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приобретения, владения или использования имущества, если известно, что оно представляет собой доход от преступлений;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07.08.2001 № 115-ФЗ «О 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Принятие мер по предупреждению коррупции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при взаимодействии с организациями-контрагентами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 зависимых организациях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 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Взаимодействие с государственными/муниципальными органами,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осуществляющими</w:t>
      </w:r>
      <w:proofErr w:type="gramEnd"/>
      <w:r>
        <w:rPr>
          <w:sz w:val="24"/>
          <w:szCs w:val="24"/>
        </w:rPr>
        <w:t xml:space="preserve"> контрольно-надзорные функции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Взаимодействие с представителями государственных/муниципальных органов, реализующих контрольно-надзорные функции в отношении организации, связано с высокими коррупционными рисками.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государственных/муниципальных служащих, осуществляющих контрольно-надзорные мероприятия (далее –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31. 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При нарушении служащими требований к их служебному поведению, при возникновении ситуаций </w:t>
      </w:r>
      <w:proofErr w:type="spellStart"/>
      <w:r>
        <w:rPr>
          <w:sz w:val="24"/>
          <w:szCs w:val="24"/>
        </w:rPr>
        <w:t>испрашивания</w:t>
      </w:r>
      <w:proofErr w:type="spellEnd"/>
      <w:r>
        <w:rPr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33. 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Сотрудничество с правоохранительными органами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сфере противодействия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35. Сотрудничество с правоохранительными органами осуществляется также в следующих формах: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36. 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Участие в коллективных инициативах</w:t>
      </w: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Организации принимают участие в коллективных антикоррупционных инициативах, в том числе в форме: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присоединения к Антикоррупционной хартии российского бизнеса;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использования в совместных договорах стандартных антикоррупционных положений;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публичного отказа от совместной деятельности с лицами (организациями), замешанными в коррупционных преступлениях;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организации и проведения совместного </w:t>
      </w:r>
      <w:proofErr w:type="gramStart"/>
      <w:r>
        <w:rPr>
          <w:sz w:val="24"/>
          <w:szCs w:val="24"/>
        </w:rPr>
        <w:t>обучения по вопросам</w:t>
      </w:r>
      <w:proofErr w:type="gramEnd"/>
      <w:r>
        <w:rPr>
          <w:sz w:val="24"/>
          <w:szCs w:val="24"/>
        </w:rPr>
        <w:t xml:space="preserve"> профилактики и противодействия коррупции.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Анализ эффективности мер по противодействию коррупции</w:t>
      </w: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proofErr w:type="gramStart"/>
      <w:r>
        <w:rPr>
          <w:sz w:val="24"/>
          <w:szCs w:val="24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</w:t>
      </w:r>
      <w:bookmarkStart w:id="1" w:name="_GoBack"/>
      <w:bookmarkEnd w:id="1"/>
      <w:r>
        <w:rPr>
          <w:sz w:val="24"/>
          <w:szCs w:val="24"/>
        </w:rPr>
        <w:t>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0"/>
    <w:p w:rsidR="002C4C52" w:rsidRDefault="002C4C52" w:rsidP="002C4C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C57D0"/>
    <w:multiLevelType w:val="hybridMultilevel"/>
    <w:tmpl w:val="29C6D58A"/>
    <w:lvl w:ilvl="0" w:tplc="BBC27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672B4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C4C52"/>
    <w:rsid w:val="002F5129"/>
    <w:rsid w:val="003642AD"/>
    <w:rsid w:val="0037056B"/>
    <w:rsid w:val="003D340A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03CB"/>
    <w:rsid w:val="008267F4"/>
    <w:rsid w:val="0084013D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D4C6E"/>
    <w:rsid w:val="009F6373"/>
    <w:rsid w:val="009F7184"/>
    <w:rsid w:val="00A33E61"/>
    <w:rsid w:val="00A471A4"/>
    <w:rsid w:val="00A66DF1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7608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  <w:rPr>
      <w:lang/>
    </w:r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2020-09-21T15:43:00Z</cp:lastPrinted>
  <dcterms:created xsi:type="dcterms:W3CDTF">2011-11-15T08:57:00Z</dcterms:created>
  <dcterms:modified xsi:type="dcterms:W3CDTF">2020-09-22T11:18:00Z</dcterms:modified>
</cp:coreProperties>
</file>