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FE9" w:rsidRPr="003C5141" w:rsidRDefault="00281FE9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281FE9" w:rsidRPr="003C5141" w:rsidRDefault="00281FE9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6C2581">
      <w:pPr>
        <w:jc w:val="center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281FE9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>29 декабря 2021 года</w:t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644992">
        <w:rPr>
          <w:rFonts w:ascii="PT Astra Serif" w:eastAsia="Calibri" w:hAnsi="PT Astra Serif"/>
          <w:sz w:val="28"/>
          <w:szCs w:val="26"/>
          <w:lang w:eastAsia="en-US"/>
        </w:rPr>
        <w:t>2559-п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Pr="00865C55" w:rsidRDefault="00A44F85" w:rsidP="00281FE9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Об утверждении Порядка определения</w:t>
      </w: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величины арендной платы</w:t>
      </w: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В соответствии со статьей 51 Федерального закона от 06.10.2003 </w:t>
      </w:r>
      <w:r w:rsidR="00281FE9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  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Порядком управления и ра</w:t>
      </w:r>
      <w:bookmarkStart w:id="0" w:name="_GoBack"/>
      <w:bookmarkEnd w:id="0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27.03.2014 № 15: 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1. Утвердить на 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 за пользование нежилыми зданиями, помещениями, строениями, находящимися в собственности муниципального образования городской округ город Югорск (приложение 1).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2. Утвердить на 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год Порядок определения величины арендной платы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="00281FE9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за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пользование движимым муниципальным имуществом</w:t>
      </w:r>
      <w:r w:rsidR="00281FE9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(приложение 2).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3.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базовую величину стоимости одного квадратного метра нежилого здания, строения, помещения: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каменное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92 121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рублей;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proofErr w:type="gramStart"/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деревянное</w:t>
      </w:r>
      <w:proofErr w:type="gramEnd"/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– </w:t>
      </w:r>
      <w:r w:rsidR="00B25240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51 37</w:t>
      </w:r>
      <w:r w:rsidR="00F81952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рублей;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ангарного типа – </w:t>
      </w:r>
      <w:r w:rsidR="00F81952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24 272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рублей.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4.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следующие минимальные ставки арендной платы: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а) минимальная величина годовой арендной платы за один квадратный метр общей площади без учета налога на добавленную стоимость (НДС):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 xml:space="preserve">- в каменном и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деревянном исполнении – 2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200 рублей; 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1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100 рублей.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б) минимальная величина годовой арендной платы за один квадратный метр общей площади для размещения органов государственной власти и органов местного самоуправления – 1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100 рублей без учета НДС;</w:t>
      </w:r>
    </w:p>
    <w:p w:rsidR="006C2581" w:rsidRPr="00F81952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в) минимальная величина годовой арендной платы за один квадратный метр общей площади для торговой деятельности – 2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500 рублей без учета НДС.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5. Установить с 01.01.</w:t>
      </w:r>
      <w:r w:rsidRPr="00054A1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202</w:t>
      </w:r>
      <w:r w:rsidR="00054A1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зданий, строений, помещений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жилищно-коммунального и электросетевого хозяйства, объектов газоснабжения величину годовой арендной платы за один квадратный метр общей площади без учета НДС:</w:t>
      </w:r>
    </w:p>
    <w:p w:rsidR="006C2581" w:rsidRPr="00F81952" w:rsidRDefault="00281FE9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</w:t>
      </w:r>
      <w:r w:rsidR="006C2581"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каменном и деревянном исполнении </w:t>
      </w:r>
      <w:r w:rsidR="006C2581"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– 400 рублей; 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- в зданиях и помещениях ангарного типа – 200 рублей.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6. Установить, что расчет арендной платы за пользование сетями и сооружениями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тепло-водоснабжения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, связи, газоснабжения и электроснабжения производится в соответствии с приложением 2 к настоящему постановлению.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7. Установить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арендную плату субъектам малого и среднего предпринимательства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8. Действие пунктов 1-7 настоящего постановления распространяется на правоотношения, связанные с передачей муниципального имущества по договорам аренды, заключенным до 02.07.2008, и предоставлением его в аренду в соответствии с пунктами 1-14 части 1 статьи 17.1 Федерального закона от 26.07.2006 № 135-ФЗ «О защите конкуренции».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9. Установить начальную (минимальную) цену договора аренды при проведении торгов в отношении имущества, включенного в перечень муниципального имущества, предоставляемого во владение и (или) в пользование субъектам малого и среднего предпринимательства, в размере минимальных ставок арендной платы за пользование недвижимым имуществом в соответствии с подпунктом «а» пункта 4 настоящего постановления.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10. Установить, что начальная (минимальная) цена договора аренды при проведении торгов на право заключения договоров аренды муниципального имущества определяется по результатам проведения оценки рыночной стоимости арендной платы в порядке, установленном законодательством, регулирующем оценочную деятельность в Российской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lastRenderedPageBreak/>
        <w:t>Федерации.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11. Определить с 01.01.202</w:t>
      </w:r>
      <w:r w:rsidR="00B25240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2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для расчета арендной платы коэффициент инфляции (Ки) </w:t>
      </w:r>
      <w:r w:rsidRP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равный 1,1.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12. Утвердить для расчета арендной платы за пользование муниципальными нежилыми зданиями, строениями, помещениями перечень территориальных зон и коэффициенты места нахождения объектов (приложение 3).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13. </w:t>
      </w:r>
      <w:proofErr w:type="gram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и 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градостроительства</w:t>
      </w:r>
      <w:r w:rsidR="00F81952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администрации города Югорска</w:t>
      </w:r>
      <w:r w:rsidR="00155776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              </w:t>
      </w: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 xml:space="preserve"> С.Д. </w:t>
      </w:r>
      <w:proofErr w:type="spellStart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Голина</w:t>
      </w:r>
      <w:proofErr w:type="spellEnd"/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14.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6C2581" w:rsidRPr="006C2581" w:rsidRDefault="006C2581" w:rsidP="00281FE9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15. Настоящее постановление вступает в силу после его официального опубликования</w:t>
      </w:r>
      <w:r w:rsidR="00674FBB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281FE9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281FE9">
      <w:pPr>
        <w:widowControl w:val="0"/>
        <w:spacing w:line="276" w:lineRule="auto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Глава города Югорска                                                                 А.В. Бородкин</w:t>
      </w:r>
    </w:p>
    <w:p w:rsidR="006C2581" w:rsidRPr="006C2581" w:rsidRDefault="006C2581" w:rsidP="006C2581">
      <w:pPr>
        <w:widowControl w:val="0"/>
        <w:jc w:val="both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DD5C8C" w:rsidRDefault="00DD5C8C">
      <w:pPr>
        <w:suppressAutoHyphens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br w:type="page"/>
      </w:r>
    </w:p>
    <w:tbl>
      <w:tblPr>
        <w:tblW w:w="222" w:type="dxa"/>
        <w:tblInd w:w="108" w:type="dxa"/>
        <w:tblLook w:val="0000" w:firstRow="0" w:lastRow="0" w:firstColumn="0" w:lastColumn="0" w:noHBand="0" w:noVBand="0"/>
      </w:tblPr>
      <w:tblGrid>
        <w:gridCol w:w="222"/>
      </w:tblGrid>
      <w:tr w:rsidR="00DD5C8C" w:rsidRPr="00A25348" w:rsidTr="00DD5C8C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5C8C" w:rsidRPr="00A25348" w:rsidRDefault="00DD5C8C" w:rsidP="00A25348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6C2581" w:rsidRPr="00E8158E" w:rsidRDefault="006C2581" w:rsidP="00E8158E">
      <w:pPr>
        <w:widowControl w:val="0"/>
        <w:tabs>
          <w:tab w:val="left" w:pos="7797"/>
          <w:tab w:val="right" w:pos="8306"/>
        </w:tabs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Приложение 1</w:t>
      </w:r>
    </w:p>
    <w:p w:rsidR="006C2581" w:rsidRPr="00E8158E" w:rsidRDefault="006C2581" w:rsidP="00E8158E">
      <w:pPr>
        <w:keepNext/>
        <w:widowControl w:val="0"/>
        <w:numPr>
          <w:ilvl w:val="3"/>
          <w:numId w:val="0"/>
        </w:numPr>
        <w:tabs>
          <w:tab w:val="num" w:pos="864"/>
        </w:tabs>
        <w:spacing w:line="276" w:lineRule="auto"/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 постановлению </w:t>
      </w:r>
    </w:p>
    <w:p w:rsidR="006C2581" w:rsidRPr="00E8158E" w:rsidRDefault="006C2581" w:rsidP="00E8158E">
      <w:pPr>
        <w:keepNext/>
        <w:widowControl w:val="0"/>
        <w:numPr>
          <w:ilvl w:val="3"/>
          <w:numId w:val="0"/>
        </w:numPr>
        <w:tabs>
          <w:tab w:val="num" w:pos="864"/>
        </w:tabs>
        <w:spacing w:line="276" w:lineRule="auto"/>
        <w:ind w:left="864" w:hanging="864"/>
        <w:jc w:val="right"/>
        <w:outlineLvl w:val="3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C2581" w:rsidRPr="00E8158E" w:rsidRDefault="006C2581" w:rsidP="00E8158E">
      <w:pPr>
        <w:keepNext/>
        <w:widowControl w:val="0"/>
        <w:tabs>
          <w:tab w:val="left" w:pos="3192"/>
        </w:tabs>
        <w:spacing w:line="276" w:lineRule="auto"/>
        <w:jc w:val="right"/>
        <w:outlineLvl w:val="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44992" w:rsidRPr="00644992">
        <w:rPr>
          <w:rFonts w:ascii="PT Astra Serif" w:eastAsia="Calibri" w:hAnsi="PT Astra Serif"/>
          <w:b/>
          <w:sz w:val="28"/>
          <w:szCs w:val="26"/>
          <w:lang w:eastAsia="en-US"/>
        </w:rPr>
        <w:t>29 декабря 2021 года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="00644992" w:rsidRPr="0064499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2559-п</w:t>
      </w:r>
    </w:p>
    <w:p w:rsidR="00E8158E" w:rsidRPr="00E8158E" w:rsidRDefault="00E8158E" w:rsidP="00E8158E">
      <w:pPr>
        <w:widowControl w:val="0"/>
        <w:tabs>
          <w:tab w:val="left" w:pos="567"/>
        </w:tabs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E8158E" w:rsidRDefault="00E8158E" w:rsidP="00E8158E">
      <w:pPr>
        <w:widowControl w:val="0"/>
        <w:tabs>
          <w:tab w:val="left" w:pos="567"/>
        </w:tabs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ПОРЯДО</w:t>
      </w:r>
      <w:r w:rsidR="006C2581"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</w:t>
      </w:r>
    </w:p>
    <w:p w:rsidR="006C2581" w:rsidRPr="00E8158E" w:rsidRDefault="006C2581" w:rsidP="00E8158E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за пользование нежилыми зданиями,  помещениями, </w:t>
      </w:r>
      <w:proofErr w:type="gramStart"/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строениями</w:t>
      </w:r>
      <w:proofErr w:type="gramEnd"/>
      <w:r w:rsid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находящимися в </w:t>
      </w: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собственности муниципального образования городской округ город </w:t>
      </w: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Югорск</w:t>
      </w:r>
      <w:proofErr w:type="spellEnd"/>
    </w:p>
    <w:p w:rsidR="006C2581" w:rsidRPr="00E8158E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E8158E" w:rsidRDefault="006C2581" w:rsidP="00E8158E">
      <w:pPr>
        <w:widowControl w:val="0"/>
        <w:tabs>
          <w:tab w:val="left" w:pos="567"/>
        </w:tabs>
        <w:spacing w:line="276" w:lineRule="auto"/>
        <w:ind w:right="27"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1. Настоящий порядок применяется при сдаче в арен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ду находящихся в муниципальной 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собственности муниципального обр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азования городской округ город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Югорск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нежилых зданий, п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омещений, строений и их частей.</w:t>
      </w:r>
    </w:p>
    <w:p w:rsidR="006C2581" w:rsidRPr="00E8158E" w:rsidRDefault="006C2581" w:rsidP="00E8158E">
      <w:pPr>
        <w:widowControl w:val="0"/>
        <w:tabs>
          <w:tab w:val="left" w:pos="567"/>
        </w:tabs>
        <w:spacing w:line="276" w:lineRule="auto"/>
        <w:ind w:right="27"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2. Величина годовой арендной платы  определяется по формуле:</w:t>
      </w:r>
    </w:p>
    <w:p w:rsidR="006C2581" w:rsidRPr="00E8158E" w:rsidRDefault="006C2581" w:rsidP="00E8158E">
      <w:pPr>
        <w:widowControl w:val="0"/>
        <w:tabs>
          <w:tab w:val="left" w:pos="708"/>
          <w:tab w:val="center" w:pos="4153"/>
          <w:tab w:val="right" w:pos="8306"/>
        </w:tabs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E8158E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Ап = 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х(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Км х Кд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Кк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Кв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</w:p>
    <w:p w:rsidR="006C2581" w:rsidRPr="006C2581" w:rsidRDefault="006C2581" w:rsidP="00E8158E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10</w:t>
      </w: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S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арендуемая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площадь,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</w:t>
      </w:r>
      <w:proofErr w:type="spellEnd"/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– базовая величина стоимости  1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кв.м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. нежилого здания, помещения, строения, помещения </w:t>
      </w:r>
    </w:p>
    <w:p w:rsidR="006C2581" w:rsidRPr="006C2581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(устанавливается  постановлением  администрации города Югорска).</w:t>
      </w:r>
    </w:p>
    <w:p w:rsidR="006C2581" w:rsidRPr="006C2581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="0015577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(100%-% износа)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100</w:t>
      </w:r>
    </w:p>
    <w:p w:rsidR="006C2581" w:rsidRPr="006C2581" w:rsidRDefault="006C2581" w:rsidP="00E8158E">
      <w:pPr>
        <w:widowControl w:val="0"/>
        <w:spacing w:line="276" w:lineRule="auto"/>
        <w:ind w:firstLine="72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износа объекта недвижимости, фактический срок службы которого превышает нормативный, но находящегося в сос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тоянии,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пригодном для использования по основному назначению, не может быть установлен менее 0,1.</w:t>
      </w:r>
      <w:proofErr w:type="gramEnd"/>
    </w:p>
    <w:p w:rsidR="006C2581" w:rsidRPr="006C2581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Км</w:t>
      </w:r>
      <w:proofErr w:type="gram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места нахождения устанавливается в зависимости от принадлежности объекта недвижимости к территориальной зоне в соответствии с приложением 3 к настоящему постановлению.</w:t>
      </w: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вида деятельности: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E8158E" w:rsidRDefault="00E8158E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пункт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ы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7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страховые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инвестиционные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аудиторские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рекламные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агентства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юридические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консультации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лизинговые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телефонные станции, телеграфы.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1,1: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автошколы;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строительство;</w:t>
      </w:r>
    </w:p>
    <w:p w:rsidR="006C2581" w:rsidRPr="00E8158E" w:rsidRDefault="006C2581" w:rsidP="00155776">
      <w:pPr>
        <w:widowControl w:val="0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 кабинеты (коммерческие), аптеки;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нау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чные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E8158E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 0,8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E8158E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образова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тельные учреждения;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0,55: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tabs>
          <w:tab w:val="clear" w:pos="360"/>
          <w:tab w:val="num" w:pos="0"/>
        </w:tabs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ремонт и эксплуатация жилья, объектов социального и коммунального назначения.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E8158E" w:rsidRDefault="00E8158E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-</w:t>
      </w:r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организации народных,  художественных промыслов;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E8158E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E8158E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= 0,3:</w:t>
      </w:r>
    </w:p>
    <w:p w:rsidR="006C2581" w:rsidRPr="00E8158E" w:rsidRDefault="006C2581" w:rsidP="00E8158E">
      <w:pPr>
        <w:widowControl w:val="0"/>
        <w:numPr>
          <w:ilvl w:val="0"/>
          <w:numId w:val="2"/>
        </w:numPr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E8158E" w:rsidRDefault="00E8158E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- </w:t>
      </w:r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жилищно-коммунального, электросетевого хозяйства, объекты и сети газоснабжения;</w:t>
      </w:r>
    </w:p>
    <w:p w:rsidR="006C2581" w:rsidRPr="00E8158E" w:rsidRDefault="006C2581" w:rsidP="00E8158E">
      <w:pPr>
        <w:widowControl w:val="0"/>
        <w:tabs>
          <w:tab w:val="left" w:pos="0"/>
        </w:tabs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Кд = 0,1:</w:t>
      </w:r>
    </w:p>
    <w:p w:rsidR="006C2581" w:rsidRPr="00E8158E" w:rsidRDefault="00E8158E" w:rsidP="00E8158E">
      <w:pPr>
        <w:widowControl w:val="0"/>
        <w:tabs>
          <w:tab w:val="left" w:pos="0"/>
        </w:tabs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- </w:t>
      </w:r>
      <w:r w:rsidR="006C2581"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субъекты креативных индустрий.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Типы деятельности, не вошедшие в настоящий перечень, оцениваются: Кд = 1,0.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Кк</w:t>
      </w:r>
      <w:proofErr w:type="spellEnd"/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минимальной комфортабельности п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ринимается  </w:t>
      </w:r>
      <w:proofErr w:type="gramStart"/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равным</w:t>
      </w:r>
      <w:proofErr w:type="gramEnd"/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1,0 (при 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отсутствии 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в здании водоснабжения, канализации, отопления, электроснабжения коэффициент снижается на 0,1 за каждый отсутствующий элемент обустройства).</w:t>
      </w:r>
    </w:p>
    <w:p w:rsidR="006C2581" w:rsidRPr="00E8158E" w:rsidRDefault="006C2581" w:rsidP="00E8158E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E8158E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Кв</w:t>
      </w:r>
      <w:proofErr w:type="spellEnd"/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входа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2226"/>
        <w:gridCol w:w="2385"/>
        <w:gridCol w:w="2452"/>
      </w:tblGrid>
      <w:tr w:rsidR="006C2581" w:rsidRPr="00E8158E" w:rsidTr="00E8158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входа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E8158E" w:rsidTr="00E8158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Отдельный</w:t>
            </w:r>
            <w:proofErr w:type="gram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 улицы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Общий</w:t>
            </w:r>
            <w:proofErr w:type="gram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 xml:space="preserve"> со двора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Через</w:t>
            </w:r>
            <w:proofErr w:type="spellEnd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проходную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0,89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1,06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0,74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0,46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0,86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0,85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E8158E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E8158E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</w:tc>
      </w:tr>
    </w:tbl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Кэ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–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этажности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07"/>
        <w:gridCol w:w="2226"/>
        <w:gridCol w:w="2385"/>
        <w:gridCol w:w="2452"/>
      </w:tblGrid>
      <w:tr w:rsidR="006C2581" w:rsidRPr="006C2581" w:rsidTr="00E8158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Занимаемые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этажи</w:t>
            </w:r>
            <w:proofErr w:type="spellEnd"/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E8158E">
        <w:tc>
          <w:tcPr>
            <w:tcW w:w="1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1-ый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2-ой этаж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Цоколь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Мансарда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Технический этаж  Технический подвал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  <w:t>Здание целиком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0,81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0,75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0,1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0,84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eastAsia="en-US"/>
              </w:rPr>
            </w:pP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0,96</w:t>
            </w:r>
          </w:p>
        </w:tc>
      </w:tr>
    </w:tbl>
    <w:p w:rsidR="006C2581" w:rsidRPr="006C2581" w:rsidRDefault="006C2581" w:rsidP="00E8158E">
      <w:pPr>
        <w:widowControl w:val="0"/>
        <w:tabs>
          <w:tab w:val="left" w:pos="1560"/>
        </w:tabs>
        <w:spacing w:line="276" w:lineRule="auto"/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</w:pPr>
    </w:p>
    <w:p w:rsidR="006C2581" w:rsidRPr="006C2581" w:rsidRDefault="006C2581" w:rsidP="00E8158E">
      <w:pPr>
        <w:widowControl w:val="0"/>
        <w:tabs>
          <w:tab w:val="left" w:pos="1560"/>
        </w:tabs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Кт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</w:t>
      </w: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коэффициент типа здания определяется по таблице: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90"/>
        <w:gridCol w:w="2391"/>
        <w:gridCol w:w="2391"/>
        <w:gridCol w:w="2398"/>
      </w:tblGrid>
      <w:tr w:rsidR="006C2581" w:rsidRPr="006C2581" w:rsidTr="00E8158E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Тип</w:t>
            </w:r>
            <w:proofErr w:type="spellEnd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здания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Офисы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Торговля</w:t>
            </w:r>
            <w:proofErr w:type="spellEnd"/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jc w:val="center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Склады</w:t>
            </w:r>
            <w:proofErr w:type="spellEnd"/>
          </w:p>
        </w:tc>
      </w:tr>
      <w:tr w:rsidR="006C2581" w:rsidRPr="006C2581" w:rsidTr="00E8158E"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Капитальное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Ангар</w:t>
            </w:r>
            <w:proofErr w:type="spellEnd"/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Павильон</w:t>
            </w:r>
            <w:proofErr w:type="spellEnd"/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581" w:rsidRPr="006C2581" w:rsidRDefault="006C2581" w:rsidP="006C2581">
            <w:pPr>
              <w:widowControl w:val="0"/>
              <w:snapToGrid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1,0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  <w:p w:rsidR="006C2581" w:rsidRPr="006C2581" w:rsidRDefault="006C2581" w:rsidP="006C2581">
            <w:pPr>
              <w:widowControl w:val="0"/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</w:pPr>
            <w:r w:rsidRPr="006C2581">
              <w:rPr>
                <w:rFonts w:ascii="PT Astra Serif" w:hAnsi="PT Astra Serif" w:cs="Tahoma"/>
                <w:color w:val="000000"/>
                <w:sz w:val="28"/>
                <w:szCs w:val="28"/>
                <w:lang w:val="en-US" w:eastAsia="en-US"/>
              </w:rPr>
              <w:t>0,87</w:t>
            </w:r>
          </w:p>
        </w:tc>
      </w:tr>
    </w:tbl>
    <w:p w:rsidR="00E8158E" w:rsidRDefault="00E8158E" w:rsidP="00E8158E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3.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части арендуемых площадей в субаренду расчет арендной платы за эту часть площадей производится с применением повышающего коэффициента 1,3 по основному договору.</w:t>
      </w:r>
    </w:p>
    <w:p w:rsidR="006C2581" w:rsidRPr="006C2581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За просрочку перечисления арендной платы арендатор уплачивает пени в размере 0,1% от непроизведенного платежа за каждый день просрочки.</w:t>
      </w:r>
    </w:p>
    <w:p w:rsidR="006C2581" w:rsidRPr="006C2581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5.</w:t>
      </w:r>
      <w:r w:rsid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В случае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,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если расчетная арендная плата окажется меньше минимальной, то для расчета применяетс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я минимальная величина годовой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арендной платы за один квадратный метр общей нежилой площади. </w:t>
      </w:r>
    </w:p>
    <w:p w:rsidR="006C2581" w:rsidRPr="006C2581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6.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Default="006C2581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903CD2" w:rsidRPr="006C2581" w:rsidRDefault="00903CD2" w:rsidP="00E8158E">
      <w:pPr>
        <w:widowControl w:val="0"/>
        <w:spacing w:line="276" w:lineRule="auto"/>
        <w:ind w:firstLine="54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903CD2">
      <w:pPr>
        <w:widowControl w:val="0"/>
        <w:tabs>
          <w:tab w:val="left" w:pos="13273"/>
        </w:tabs>
        <w:spacing w:line="276" w:lineRule="auto"/>
        <w:ind w:firstLine="72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2</w:t>
      </w:r>
    </w:p>
    <w:p w:rsidR="006C2581" w:rsidRPr="006C2581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6C2581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44992" w:rsidRPr="00E8158E" w:rsidRDefault="00644992" w:rsidP="00644992">
      <w:pPr>
        <w:keepNext/>
        <w:widowControl w:val="0"/>
        <w:tabs>
          <w:tab w:val="left" w:pos="3192"/>
        </w:tabs>
        <w:spacing w:line="276" w:lineRule="auto"/>
        <w:jc w:val="right"/>
        <w:outlineLvl w:val="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44992">
        <w:rPr>
          <w:rFonts w:ascii="PT Astra Serif" w:eastAsia="Calibri" w:hAnsi="PT Astra Serif"/>
          <w:b/>
          <w:sz w:val="28"/>
          <w:szCs w:val="26"/>
          <w:lang w:eastAsia="en-US"/>
        </w:rPr>
        <w:t>29 декабря 2021 года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4499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2559-п</w:t>
      </w:r>
    </w:p>
    <w:p w:rsidR="006C2581" w:rsidRPr="006C2581" w:rsidRDefault="006C2581" w:rsidP="00903CD2">
      <w:pPr>
        <w:keepNext/>
        <w:widowControl w:val="0"/>
        <w:spacing w:line="276" w:lineRule="auto"/>
        <w:outlineLvl w:val="7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903CD2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ПО</w:t>
      </w:r>
      <w:r w:rsidR="006C2581"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Р</w:t>
      </w:r>
      <w:r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ЯДО</w:t>
      </w:r>
      <w:r w:rsidR="006C2581"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</w:t>
      </w:r>
    </w:p>
    <w:p w:rsidR="006C2581" w:rsidRPr="006C2581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определения величины арендной платы </w:t>
      </w:r>
    </w:p>
    <w:p w:rsidR="006C2581" w:rsidRPr="006C2581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за пользование движимым муниципальным имуществом</w:t>
      </w:r>
    </w:p>
    <w:p w:rsidR="006C2581" w:rsidRPr="006C2581" w:rsidRDefault="006C2581" w:rsidP="00903CD2">
      <w:pPr>
        <w:widowControl w:val="0"/>
        <w:spacing w:line="276" w:lineRule="auto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6C2581" w:rsidRDefault="006C2581" w:rsidP="00903CD2">
      <w:pPr>
        <w:widowControl w:val="0"/>
        <w:spacing w:line="276" w:lineRule="auto"/>
        <w:ind w:firstLine="708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1.Величина годовой арендной платы за пользование движимым муниципальным имуществом состоит из арендного процента и амортизационных отчислений Ап =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+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Аотч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ind w:firstLine="708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2. </w:t>
      </w: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 xml:space="preserve"> х Кд х Ки )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10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Апр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арендный процент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балансовая стоимость  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износа,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Кизн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u w:val="single"/>
          <w:lang w:eastAsia="en-US"/>
        </w:rPr>
        <w:t>(100% - % износа)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  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100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Коэффициент износа имущества, фактический срок которого превышает нормативный, но находится в состоянии, пригодном к эксплуатации, не может быть установлен менее 0,1 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– коэффициент вида деятельности</w:t>
      </w:r>
    </w:p>
    <w:p w:rsidR="006C2581" w:rsidRPr="006C2581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1,8:</w:t>
      </w:r>
    </w:p>
    <w:p w:rsidR="006C2581" w:rsidRPr="006C2581" w:rsidRDefault="00903CD2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банк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</w:t>
      </w:r>
      <w:proofErr w:type="gramEnd"/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пункт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обмена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валюты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продовольственными товарами и спиртными напитками.</w:t>
      </w:r>
    </w:p>
    <w:p w:rsidR="006C2581" w:rsidRPr="006C2581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страховые компании. </w:t>
      </w:r>
    </w:p>
    <w:p w:rsidR="006C2581" w:rsidRPr="006C2581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1,6: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инвестиционные и аудиторские фирмы;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рекламные агентства;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юридические консультации;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организации, осуществляющие операции с недвижимостью,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риэлторскую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деятельность;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оптовая и розничная торговля промышленными товарами, ювелирными изделиями.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осуществляющие операции с ценными бумагами;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lastRenderedPageBreak/>
        <w:t>лизинговые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компании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нотариальные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адвокатские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центры, осуществляющие информационно-вычислительное обслуживание;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сыскные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охранные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,3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фирмы, консультирующие по вопросам коммерческой деятельности и финансам;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фирмы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занимающиеся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маркетинговыми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исследованиями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рестораны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автосервис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дискотеки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903CD2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косметические</w:t>
      </w:r>
      <w:proofErr w:type="spellEnd"/>
      <w:proofErr w:type="gram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салоны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(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кабинеты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)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,2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гостиницы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кемпинги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экскурсионные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туристические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бюро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офисы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телефонные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телеграфы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,1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автошколы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строительство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негосударственные лечебницы, клиники, медицинские кабинеты (коммерческие), аптеки;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научные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проектные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конторы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вторсырья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транспортные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ветеринарные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клиники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бани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сауны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1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,0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производство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,9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903CD2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спортклубы</w:t>
      </w:r>
      <w:proofErr w:type="spellEnd"/>
      <w:proofErr w:type="gram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спортзалы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фитнес-клубы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6C2581">
      <w:pPr>
        <w:widowControl w:val="0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="00903CD2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,8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903CD2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опытные</w:t>
      </w:r>
      <w:proofErr w:type="spellEnd"/>
      <w:proofErr w:type="gram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станции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6C2581"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лаборатории</w:t>
      </w:r>
      <w:proofErr w:type="spellEnd"/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киностудии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учреждения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здравоохранения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мастерские по ремонту часов, бытовой техники, обуви;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парикмахерские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маникюрные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кулинарии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столовые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кафе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пиццерии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lastRenderedPageBreak/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,7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по санитарной очистке, уборке и озеленению города;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ритуальные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услуги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,6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образовательные учреждения;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подсобные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помещения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,5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5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ремонт и эксплуатация жилья,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обьектов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социального и коммунального назначения.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= 0,5:</w:t>
      </w:r>
    </w:p>
    <w:p w:rsidR="006C2581" w:rsidRPr="006C2581" w:rsidRDefault="00903CD2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-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организации народных художественных промыслов;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группы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дошкольного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воспитания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>Кд</w:t>
      </w:r>
      <w:proofErr w:type="spellEnd"/>
      <w:r w:rsidRPr="006C2581">
        <w:rPr>
          <w:rFonts w:ascii="PT Astra Serif" w:hAnsi="PT Astra Serif" w:cs="Tahoma"/>
          <w:b/>
          <w:color w:val="000000"/>
          <w:sz w:val="28"/>
          <w:szCs w:val="28"/>
          <w:lang w:val="en-US"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= 0</w:t>
      </w:r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,4</w:t>
      </w:r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правоохранительная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деятельность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осуществление функций государственного и муниципального управления;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proofErr w:type="spellStart"/>
      <w:proofErr w:type="gram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федеральные</w:t>
      </w:r>
      <w:proofErr w:type="spellEnd"/>
      <w:proofErr w:type="gram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и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государственные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6C2581">
        <w:rPr>
          <w:rFonts w:ascii="PT Astra Serif" w:hAnsi="PT Astra Serif" w:cs="Tahoma"/>
          <w:color w:val="000000"/>
          <w:sz w:val="28"/>
          <w:szCs w:val="28"/>
          <w:lang w:val="en-US" w:eastAsia="en-US"/>
        </w:rPr>
        <w:t>службы</w:t>
      </w:r>
      <w:proofErr w:type="spellEnd"/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Кд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=0,3:</w:t>
      </w:r>
    </w:p>
    <w:p w:rsidR="006C2581" w:rsidRPr="006C2581" w:rsidRDefault="006C2581" w:rsidP="00903CD2">
      <w:pPr>
        <w:widowControl w:val="0"/>
        <w:numPr>
          <w:ilvl w:val="0"/>
          <w:numId w:val="2"/>
        </w:numPr>
        <w:spacing w:line="276" w:lineRule="auto"/>
        <w:ind w:left="0" w:firstLine="0"/>
        <w:jc w:val="both"/>
        <w:rPr>
          <w:rFonts w:ascii="PT Astra Serif" w:hAnsi="PT Astra Serif" w:cs="Tahoma"/>
          <w:color w:val="000000"/>
          <w:sz w:val="28"/>
          <w:szCs w:val="28"/>
          <w:lang w:val="en-US"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почтовые организации;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Кд =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0,08:</w:t>
      </w:r>
    </w:p>
    <w:p w:rsidR="006C2581" w:rsidRPr="006C2581" w:rsidRDefault="00903CD2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-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объекты жилищно-коммунального, электросетевого хозяйства, объекты и сети газоснабжения;</w:t>
      </w:r>
    </w:p>
    <w:p w:rsidR="006C2581" w:rsidRPr="006C2581" w:rsidRDefault="006C2581" w:rsidP="00903CD2">
      <w:pPr>
        <w:widowControl w:val="0"/>
        <w:tabs>
          <w:tab w:val="left" w:pos="0"/>
        </w:tabs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Кд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= 0,1:</w:t>
      </w:r>
    </w:p>
    <w:p w:rsidR="006C2581" w:rsidRPr="006C2581" w:rsidRDefault="00903CD2" w:rsidP="00903CD2">
      <w:pPr>
        <w:widowControl w:val="0"/>
        <w:tabs>
          <w:tab w:val="left" w:pos="0"/>
        </w:tabs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- </w:t>
      </w:r>
      <w:r w:rsidR="006C2581"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субъекты креативных индустрий.</w:t>
      </w:r>
    </w:p>
    <w:p w:rsidR="006C2581" w:rsidRPr="006C2581" w:rsidRDefault="006C2581" w:rsidP="00903CD2">
      <w:pPr>
        <w:widowControl w:val="0"/>
        <w:tabs>
          <w:tab w:val="left" w:pos="0"/>
        </w:tabs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Виды деятельности, не вошедшие в настоящий перечень, оцениваются: </w:t>
      </w:r>
      <w:r w:rsidR="00155776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Кд = 1,0.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Ки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коэффициент инфляции (определяется постановлением администрации города Югорска) </w:t>
      </w:r>
    </w:p>
    <w:p w:rsidR="006C2581" w:rsidRPr="006C2581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ind w:firstLine="708"/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</w:t>
      </w: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</w:t>
      </w:r>
      <w:proofErr w:type="spellStart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Аотч</w:t>
      </w:r>
      <w:proofErr w:type="spellEnd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 = </w:t>
      </w:r>
      <w:r w:rsidRPr="00903CD2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( </w:t>
      </w:r>
      <w:proofErr w:type="spellStart"/>
      <w:r w:rsidRPr="00903CD2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Сбал</w:t>
      </w:r>
      <w:proofErr w:type="spellEnd"/>
      <w:r w:rsidRPr="00903CD2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>. х Н</w:t>
      </w:r>
      <w:proofErr w:type="gramStart"/>
      <w:r w:rsidRPr="00903CD2">
        <w:rPr>
          <w:rFonts w:ascii="PT Astra Serif" w:hAnsi="PT Astra Serif" w:cs="Tahoma"/>
          <w:b/>
          <w:color w:val="000000"/>
          <w:sz w:val="28"/>
          <w:szCs w:val="28"/>
          <w:u w:val="single"/>
          <w:lang w:eastAsia="en-US"/>
        </w:rPr>
        <w:t xml:space="preserve"> )</w:t>
      </w:r>
      <w:proofErr w:type="gramEnd"/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b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             </w:t>
      </w:r>
      <w:r w:rsid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          100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А </w:t>
      </w:r>
      <w:proofErr w:type="spellStart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отч</w:t>
      </w:r>
      <w:proofErr w:type="spellEnd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.-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амортизационные отчисления в год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proofErr w:type="spellStart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Сбал</w:t>
      </w:r>
      <w:proofErr w:type="spellEnd"/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. –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балансовая стоимость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Н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– </w:t>
      </w: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норма амортизационных отчислений в год </w:t>
      </w:r>
    </w:p>
    <w:p w:rsidR="006C2581" w:rsidRPr="00903CD2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При сдаче арендатором арендуемого имущества в субаренду расчет арендной платы  производится с применением повышающего коэффициента 1,3 по основному договору.</w:t>
      </w:r>
    </w:p>
    <w:p w:rsidR="006C2581" w:rsidRPr="006C2581" w:rsidRDefault="006C2581" w:rsidP="00903CD2">
      <w:pPr>
        <w:widowControl w:val="0"/>
        <w:spacing w:line="276" w:lineRule="auto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За просрочку перечисления арендной платы арендатор уплачивает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пени в размере 0,1% от</w:t>
      </w:r>
      <w:r w:rsidRPr="00903CD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непроизведенного платежа за каждый день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просрочки.</w:t>
      </w:r>
    </w:p>
    <w:p w:rsidR="006C2581" w:rsidRPr="006C2581" w:rsidRDefault="006C2581" w:rsidP="00903CD2">
      <w:pPr>
        <w:widowControl w:val="0"/>
        <w:ind w:firstLine="709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C2581">
        <w:rPr>
          <w:rFonts w:ascii="PT Astra Serif" w:hAnsi="PT Astra Serif" w:cs="Tahoma"/>
          <w:color w:val="000000"/>
          <w:sz w:val="28"/>
          <w:szCs w:val="28"/>
          <w:lang w:eastAsia="en-US"/>
        </w:rPr>
        <w:t>При 100% износе амортизационные отчисления в расчете арендной платы не учитываются.</w:t>
      </w:r>
    </w:p>
    <w:p w:rsidR="006C2581" w:rsidRPr="006C2581" w:rsidRDefault="006C2581" w:rsidP="00903CD2">
      <w:pPr>
        <w:widowControl w:val="0"/>
        <w:ind w:firstLine="708"/>
        <w:jc w:val="both"/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</w:pPr>
      <w:r w:rsidRPr="006C2581">
        <w:rPr>
          <w:rFonts w:ascii="PT Astra Serif" w:hAnsi="PT Astra Serif" w:cs="Tahoma"/>
          <w:bCs/>
          <w:color w:val="000000"/>
          <w:sz w:val="28"/>
          <w:szCs w:val="28"/>
          <w:lang w:eastAsia="en-US"/>
        </w:rPr>
        <w:t>7. В случае если размер арендной платы меньше арендной платы, установленной в предыдущем году, то применяется арендная плата предыдущего года.</w:t>
      </w: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903CD2" w:rsidRPr="006C2581" w:rsidRDefault="00903CD2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6C2581" w:rsidRDefault="006C2581" w:rsidP="006C2581">
      <w:pPr>
        <w:widowControl w:val="0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6C2581" w:rsidRPr="00903CD2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 постановлению</w:t>
      </w:r>
    </w:p>
    <w:p w:rsidR="006C2581" w:rsidRPr="00903CD2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администрации города Югорска</w:t>
      </w:r>
    </w:p>
    <w:p w:rsidR="00644992" w:rsidRPr="00E8158E" w:rsidRDefault="00644992" w:rsidP="00644992">
      <w:pPr>
        <w:keepNext/>
        <w:widowControl w:val="0"/>
        <w:tabs>
          <w:tab w:val="left" w:pos="3192"/>
        </w:tabs>
        <w:spacing w:line="276" w:lineRule="auto"/>
        <w:jc w:val="right"/>
        <w:outlineLvl w:val="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от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44992">
        <w:rPr>
          <w:rFonts w:ascii="PT Astra Serif" w:eastAsia="Calibri" w:hAnsi="PT Astra Serif"/>
          <w:b/>
          <w:sz w:val="28"/>
          <w:szCs w:val="26"/>
          <w:lang w:eastAsia="en-US"/>
        </w:rPr>
        <w:t>29 декабря 2021 года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E8158E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№</w:t>
      </w:r>
      <w:r w:rsidRPr="00E8158E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644992">
        <w:rPr>
          <w:rFonts w:ascii="PT Astra Serif" w:hAnsi="PT Astra Serif" w:cs="Tahoma"/>
          <w:b/>
          <w:color w:val="000000"/>
          <w:sz w:val="28"/>
          <w:szCs w:val="28"/>
          <w:lang w:eastAsia="en-US"/>
        </w:rPr>
        <w:t>2559-п</w:t>
      </w:r>
    </w:p>
    <w:p w:rsidR="006C2581" w:rsidRPr="00903CD2" w:rsidRDefault="006C2581" w:rsidP="00903CD2">
      <w:pPr>
        <w:widowControl w:val="0"/>
        <w:spacing w:line="276" w:lineRule="auto"/>
        <w:jc w:val="right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Перечень территориальных зон</w:t>
      </w: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и коэффициенты места нахождения объектов</w:t>
      </w: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903CD2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 xml:space="preserve">территориальная зона № 1 </w:t>
      </w:r>
      <w:r w:rsidR="006C2581"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Км = 2,5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4а-66, 57а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пер. Поперечный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Попова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7-63, 14-64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Гастелло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Строителей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15-49, 30-32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6, 10, 11а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Геологов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9а, 9б, 2,2а, 4, 8-10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гаражное товарищество «Строитель»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Лесозаготовителей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2-52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Железнодорожная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1-49, 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Кирова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Ленина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1-41,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гаражное товарищество «Транспортник»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40 лет Победы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1-11а,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Буряка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1-7б, 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Механизаторов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18. гаражное товарищество «Газовик»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Толстого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Свердлова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Газовиков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Садовая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3а, 3б, 2-14а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Заводская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Студенческая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Никольская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Красноармейская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9-15, 4-16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27. пер. Зеленый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3-11, 2-4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2  Км = 2,3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2. ул. Багратиона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Шаумяна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Кутузова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Плеханова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Пихтовая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Остравская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Дзержинского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3-11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Суворова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Красина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2-12, 1-13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Гоголя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1-31, 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Грибоедова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2-30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Мира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43-51, 40/1-52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Советская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9-11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19. ул. Таежная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Новая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1а, 1в, 1г, 3,3а,45,2, 2а, 2в, 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21. ул. Гастелло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13а-19/2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Аксакова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3  Км = 2,1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7-61а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13, 13а, 15, 15а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пер.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Дружбы Народов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1а-12а, 1-12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Калинина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2-32, 1-25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Таежная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Мира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37,39, 41, 38, 36,36а, 36/1, 36/2, 36/3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Декабристов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Чкалова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Шолохова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Курчатова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Сибирская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Южная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39-49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Молодежная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Парковая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17. Цветной бульвар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lastRenderedPageBreak/>
        <w:t>территориальная зона № 4  Км = 2,0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Полевая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Горького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Некрасова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1а-11, 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Столыпина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1-13, 2-16, 1а, 2а, 4а, 6а, 8а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Красная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пер. Красный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5 Км = 1,9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Никольская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3. пер.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Арантурский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Петровская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Минина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2а-10, 1-9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Спасская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Рябиновая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Ольховая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Пожарского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Широкая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2-20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Бородинская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Невская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Студенческая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24-34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Таежная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29-63б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Калинина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29-65, 34-60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63-119, 68-98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12-16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18. пер.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Поперечный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5, 7, 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Попова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65-87, 66, 66/1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Механизаторов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31-35, 2а-32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Октябрьская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1-33а, 2а-18а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Железнодорожная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53а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Ленина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43, 30-36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Клары Цеткин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1-9, 2-16</w:t>
      </w: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6  Км = 1,8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пер. Северный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3а-19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Советская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55-63, 60-64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Есенина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1а-7, 2а-8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Октябрьская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 xml:space="preserve">5. ул. Калинина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67, 69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7  Км= 1,7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Садовая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16-84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Заводская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17-43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Магистральная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19, 19/1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18-24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Монтажников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Лермонтова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Транспортная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2-22, 14а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Новая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3-41, 2-42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Советская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13-55а, 14-58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Таежная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40-78а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пер. Радужный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1, 3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Ясный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2-6, 1-5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Мичурина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Труда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Октябрьская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39, 39а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8  Км = 1,6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Гастелло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Мира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57-85, 54-62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Монтажников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1а, 3а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Спортивная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33-49, 26-28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Энтузиастов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3-23,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Кольцевая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Западная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Северная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Сосновая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Нововятская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2, 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Спортивный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1-21,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Кедровая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ул. Снежная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Труда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23-36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15.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г.т</w:t>
      </w:r>
      <w:proofErr w:type="gram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.«</w:t>
      </w:r>
      <w:proofErr w:type="gram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Колос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ул. Березовая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17. ул. Лии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Карастояновой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Магистральная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14-32, 21-29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19. ул. Ермака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5-19, 2-28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20. ул. Песчаная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Космонавтов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3-29, 2-48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Менделеева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Сахарова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9  Км = 1,5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Студенческая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Садовая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Вавилова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Первомайская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Королева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П. Морозова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Магистральная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1-17,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пер. Магистральный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Киевская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ул. Восточная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2-30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пер. В. Дубинина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1-7, 2-10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Гайдара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13. пер. Гайдара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2-10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14. ул. В. Дубинина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1-29, 2а-24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15. ул. Котовского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16. пер. Котовского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1-9, 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17. ул. Шевченко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1-15, 2а-18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18. ул. Пушкина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1-23, 2-24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19. пер. Зеленый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17-21, 8-12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20. пер. Студенческий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2-12/2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21. ул. Буденного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1-19, 2-20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22. ул. Лесная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1-47, 2-54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23. ул. Югорская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4-48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24. ул. Покровская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1-45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25. ул. Бажова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1-19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26. ул. Кооперативная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27. ул. Тополиная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28. ул. Чехова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1-67, 2-42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29. ул. Солнечная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1-25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30. ул. Загородная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1-35, 2-30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31. ул. Ремизова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1-39, 2-36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32. ул. Славянская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1-37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33. ул. Гагарина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2-44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34. ул. 8 Марта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1-17, 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35. ул. Юбилейная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3-17, 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36. ул. Защитников Отечества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37. ул. Новослободская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2-14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38. ул. Светлая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1-11, 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39. Вещевой рынок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40. Пост ГАИ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41. Кафе-закусочная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10  Км = 1,4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Городской парк по ул. Менделеева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Менделеева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27а, 24-28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11  Км = 1,3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30-56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Уральская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29-55, 24-44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Звездная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20-40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19-39, 16-34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Тюменская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17-37, 24-44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Московская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23-43, 24-44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24-44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12  Км = 1,2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Сахарова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Московская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Тюменская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1-15в,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Сибирский бульвар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1а-17, 2-14в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Звездная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1-21, 2а-18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Уральская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1-27, 2-22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7.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2-28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Цветной бульвар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13  Км = 1,1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Арантурская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2, 2а, 2б, 4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903CD2" w:rsidRDefault="006C2581" w:rsidP="00903CD2">
      <w:pPr>
        <w:widowControl w:val="0"/>
        <w:spacing w:line="276" w:lineRule="auto"/>
        <w:ind w:hanging="225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2. ул. П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ромышленная 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1,1а,1б,3,5,7,8,9,9/1,11,13,15,17,21а,21б,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                     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                 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23,25,27,29,31 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л. Попова </w:t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1,1б,1г,1д,1к,2а2к,2л,2-12, 4а, 4б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«Западный»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lastRenderedPageBreak/>
        <w:t>5. ул. Геологов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15а, 21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14  Км = 1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</w:t>
      </w:r>
      <w:r w:rsidR="00A93FD5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г</w:t>
      </w:r>
      <w:proofErr w:type="gram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.Ю</w:t>
      </w:r>
      <w:proofErr w:type="gram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горск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, район Югорск-2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 ул. Гастелло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2-30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Титова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гаражное товарищество « Кедр»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гаражное товарищество  «Север»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</w:t>
      </w:r>
      <w:r w:rsidR="00A93FD5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гаражное товарищество  «Елочка»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Калинина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70, 70а, 70б, 70в, 70г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Торговая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1-7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Славянская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2-8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10. пер. Красный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</w:p>
    <w:p w:rsidR="006C2581" w:rsidRPr="00903CD2" w:rsidRDefault="006C2581" w:rsidP="00903CD2">
      <w:pPr>
        <w:widowControl w:val="0"/>
        <w:spacing w:line="276" w:lineRule="auto"/>
        <w:jc w:val="center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15  Км = 0,9</w:t>
      </w:r>
    </w:p>
    <w:p w:rsidR="006C2581" w:rsidRPr="00903CD2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1. ул. Кольцевая 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7</w:t>
      </w:r>
    </w:p>
    <w:p w:rsidR="006C2581" w:rsidRPr="00903CD2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2.Водоочистные сооружения</w:t>
      </w:r>
    </w:p>
    <w:p w:rsidR="006C2581" w:rsidRPr="00903CD2" w:rsidRDefault="006C2581" w:rsidP="00903CD2">
      <w:pPr>
        <w:widowControl w:val="0"/>
        <w:spacing w:line="276" w:lineRule="auto"/>
        <w:jc w:val="both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</w:p>
    <w:p w:rsidR="006C2581" w:rsidRPr="00903CD2" w:rsidRDefault="006C2581" w:rsidP="00A93FD5">
      <w:pPr>
        <w:keepNext/>
        <w:widowControl w:val="0"/>
        <w:tabs>
          <w:tab w:val="num" w:pos="432"/>
        </w:tabs>
        <w:spacing w:line="276" w:lineRule="auto"/>
        <w:jc w:val="center"/>
        <w:outlineLvl w:val="0"/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b/>
          <w:bCs/>
          <w:color w:val="000000"/>
          <w:sz w:val="28"/>
          <w:szCs w:val="28"/>
          <w:lang w:eastAsia="en-US"/>
        </w:rPr>
        <w:t>территориальная зона № 16  Км = 0,8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1. ул. Декабристов,24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КОС - 7000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2.гаражное товарищество  «Хвойный»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3. ул. Менделеева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52-70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4. ул. Песчаная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                   13-31, 14-32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5. ул. Ермака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21-39, 30-48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6. ул. Космонавтов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31-49, 50-68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7. ул. Сахарова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49-67, 46-60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8. ул. Московская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46-60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9. ул. Тюменская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39-53, 46-60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10. Сибирский бульвар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41-55, 36-50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11. ул. Звездная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45-59, 42-56</w:t>
      </w:r>
    </w:p>
    <w:p w:rsidR="006C2581" w:rsidRPr="00903CD2" w:rsidRDefault="006C2581" w:rsidP="00903CD2">
      <w:pPr>
        <w:widowControl w:val="0"/>
        <w:spacing w:line="276" w:lineRule="auto"/>
        <w:rPr>
          <w:rFonts w:ascii="PT Astra Serif" w:hAnsi="PT Astra Serif" w:cs="Tahoma"/>
          <w:color w:val="000000"/>
          <w:sz w:val="28"/>
          <w:szCs w:val="28"/>
          <w:lang w:eastAsia="en-US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12. ул. Уральская</w:t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>57-71, 46-60</w:t>
      </w:r>
    </w:p>
    <w:p w:rsidR="00A44F85" w:rsidRPr="00903CD2" w:rsidRDefault="006C2581" w:rsidP="00903CD2">
      <w:pPr>
        <w:widowControl w:val="0"/>
        <w:spacing w:line="276" w:lineRule="auto"/>
        <w:rPr>
          <w:rFonts w:ascii="PT Astra Serif" w:hAnsi="PT Astra Serif"/>
          <w:sz w:val="28"/>
          <w:szCs w:val="28"/>
        </w:rPr>
      </w:pP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 xml:space="preserve">13. ул. </w:t>
      </w:r>
      <w:proofErr w:type="spellStart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>Кондинская</w:t>
      </w:r>
      <w:proofErr w:type="spellEnd"/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</w:r>
      <w:r w:rsidRPr="00903CD2">
        <w:rPr>
          <w:rFonts w:ascii="PT Astra Serif" w:hAnsi="PT Astra Serif" w:cs="Tahoma"/>
          <w:color w:val="000000"/>
          <w:sz w:val="28"/>
          <w:szCs w:val="28"/>
          <w:lang w:eastAsia="en-US"/>
        </w:rPr>
        <w:tab/>
        <w:t xml:space="preserve">58-72                                      </w:t>
      </w:r>
    </w:p>
    <w:sectPr w:rsidR="00A44F85" w:rsidRPr="00903CD2" w:rsidSect="00644992">
      <w:headerReference w:type="default" r:id="rId10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E9" w:rsidRDefault="00281FE9" w:rsidP="003C5141">
      <w:r>
        <w:separator/>
      </w:r>
    </w:p>
  </w:endnote>
  <w:endnote w:type="continuationSeparator" w:id="0">
    <w:p w:rsidR="00281FE9" w:rsidRDefault="00281FE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E9" w:rsidRDefault="00281FE9" w:rsidP="003C5141">
      <w:r>
        <w:separator/>
      </w:r>
    </w:p>
  </w:footnote>
  <w:footnote w:type="continuationSeparator" w:id="0">
    <w:p w:rsidR="00281FE9" w:rsidRDefault="00281FE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469976"/>
      <w:docPartObj>
        <w:docPartGallery w:val="Page Numbers (Top of Page)"/>
        <w:docPartUnique/>
      </w:docPartObj>
    </w:sdtPr>
    <w:sdtEndPr/>
    <w:sdtContent>
      <w:p w:rsidR="00281FE9" w:rsidRDefault="00281F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992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5F22768E"/>
    <w:multiLevelType w:val="multilevel"/>
    <w:tmpl w:val="9C10C1D4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A12"/>
    <w:rsid w:val="000713DF"/>
    <w:rsid w:val="000A0E8D"/>
    <w:rsid w:val="000C2EA5"/>
    <w:rsid w:val="0010401B"/>
    <w:rsid w:val="001257C7"/>
    <w:rsid w:val="001347D7"/>
    <w:rsid w:val="001356EA"/>
    <w:rsid w:val="00140D6B"/>
    <w:rsid w:val="00155776"/>
    <w:rsid w:val="0018017D"/>
    <w:rsid w:val="00184ECA"/>
    <w:rsid w:val="001E71AE"/>
    <w:rsid w:val="0021641A"/>
    <w:rsid w:val="00224E69"/>
    <w:rsid w:val="00256A87"/>
    <w:rsid w:val="00271EA8"/>
    <w:rsid w:val="00281FE9"/>
    <w:rsid w:val="00285C61"/>
    <w:rsid w:val="00296E8C"/>
    <w:rsid w:val="002F5129"/>
    <w:rsid w:val="00346077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E6C45"/>
    <w:rsid w:val="00624190"/>
    <w:rsid w:val="00644992"/>
    <w:rsid w:val="0065328E"/>
    <w:rsid w:val="00674FBB"/>
    <w:rsid w:val="006B3FA0"/>
    <w:rsid w:val="006C1B66"/>
    <w:rsid w:val="006C2581"/>
    <w:rsid w:val="006F6444"/>
    <w:rsid w:val="00713C1C"/>
    <w:rsid w:val="007268A4"/>
    <w:rsid w:val="00750AD5"/>
    <w:rsid w:val="007B0AFD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F48DF"/>
    <w:rsid w:val="00903CD2"/>
    <w:rsid w:val="00906884"/>
    <w:rsid w:val="00914417"/>
    <w:rsid w:val="00953E9C"/>
    <w:rsid w:val="0097026B"/>
    <w:rsid w:val="00980B76"/>
    <w:rsid w:val="009C4E86"/>
    <w:rsid w:val="009F7184"/>
    <w:rsid w:val="00A07952"/>
    <w:rsid w:val="00A25348"/>
    <w:rsid w:val="00A33E61"/>
    <w:rsid w:val="00A44F85"/>
    <w:rsid w:val="00A471A4"/>
    <w:rsid w:val="00A6591A"/>
    <w:rsid w:val="00A93FD5"/>
    <w:rsid w:val="00AB09E1"/>
    <w:rsid w:val="00AD29B5"/>
    <w:rsid w:val="00AD77E7"/>
    <w:rsid w:val="00AF75FC"/>
    <w:rsid w:val="00B14AF7"/>
    <w:rsid w:val="00B25240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D5C8C"/>
    <w:rsid w:val="00E8158E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81952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C2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C2581"/>
    <w:pPr>
      <w:keepNext/>
      <w:widowControl w:val="0"/>
      <w:tabs>
        <w:tab w:val="num" w:pos="576"/>
      </w:tabs>
      <w:ind w:left="576" w:hanging="576"/>
      <w:jc w:val="center"/>
      <w:outlineLvl w:val="1"/>
    </w:pPr>
    <w:rPr>
      <w:rFonts w:cs="Tahoma"/>
      <w:b/>
      <w:bCs/>
      <w:color w:val="000000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25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C2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qFormat/>
    <w:rsid w:val="006C2581"/>
    <w:pPr>
      <w:keepNext/>
      <w:widowControl w:val="0"/>
      <w:tabs>
        <w:tab w:val="num" w:pos="1584"/>
      </w:tabs>
      <w:ind w:left="1584" w:hanging="1584"/>
      <w:jc w:val="both"/>
      <w:outlineLvl w:val="8"/>
    </w:pPr>
    <w:rPr>
      <w:rFonts w:cs="Tahoma"/>
      <w:b/>
      <w:color w:val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C2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C258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6C2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C2581"/>
    <w:rPr>
      <w:rFonts w:ascii="Times New Roman" w:eastAsia="Times New Roman" w:hAnsi="Times New Roman" w:cs="Tahoma"/>
      <w:b/>
      <w:bCs/>
      <w:color w:val="000000"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6C2581"/>
    <w:rPr>
      <w:rFonts w:ascii="Times New Roman" w:eastAsia="Times New Roman" w:hAnsi="Times New Roman" w:cs="Tahoma"/>
      <w:b/>
      <w:color w:val="000000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6C2581"/>
  </w:style>
  <w:style w:type="character" w:customStyle="1" w:styleId="ac">
    <w:name w:val="Маркеры списка"/>
    <w:rsid w:val="006C2581"/>
    <w:rPr>
      <w:rFonts w:ascii="OpenSymbol" w:eastAsia="Times New Roman" w:hAnsi="OpenSymbol"/>
    </w:rPr>
  </w:style>
  <w:style w:type="character" w:customStyle="1" w:styleId="ad">
    <w:name w:val="Символ нумерации"/>
    <w:rsid w:val="006C2581"/>
  </w:style>
  <w:style w:type="paragraph" w:styleId="ae">
    <w:name w:val="Body Text"/>
    <w:basedOn w:val="a"/>
    <w:link w:val="af"/>
    <w:uiPriority w:val="99"/>
    <w:rsid w:val="006C2581"/>
    <w:pPr>
      <w:widowControl w:val="0"/>
      <w:spacing w:after="120"/>
    </w:pPr>
    <w:rPr>
      <w:rFonts w:cs="Tahoma"/>
      <w:color w:val="000000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6C2581"/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paragraph" w:customStyle="1" w:styleId="af0">
    <w:name w:val="Заголовок"/>
    <w:basedOn w:val="a"/>
    <w:next w:val="ae"/>
    <w:rsid w:val="006C2581"/>
    <w:pPr>
      <w:keepNext/>
      <w:widowControl w:val="0"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1">
    <w:name w:val="Title"/>
    <w:basedOn w:val="af0"/>
    <w:next w:val="af2"/>
    <w:link w:val="af3"/>
    <w:uiPriority w:val="10"/>
    <w:qFormat/>
    <w:rsid w:val="006C2581"/>
  </w:style>
  <w:style w:type="character" w:customStyle="1" w:styleId="af3">
    <w:name w:val="Название Знак"/>
    <w:basedOn w:val="a0"/>
    <w:link w:val="af1"/>
    <w:uiPriority w:val="10"/>
    <w:rsid w:val="006C2581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2">
    <w:name w:val="Subtitle"/>
    <w:basedOn w:val="af0"/>
    <w:next w:val="ae"/>
    <w:link w:val="af4"/>
    <w:uiPriority w:val="11"/>
    <w:qFormat/>
    <w:rsid w:val="006C2581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11"/>
    <w:rsid w:val="006C2581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21">
    <w:name w:val="Основной текст 21"/>
    <w:basedOn w:val="a"/>
    <w:rsid w:val="006C2581"/>
    <w:pPr>
      <w:widowControl w:val="0"/>
      <w:jc w:val="both"/>
    </w:pPr>
    <w:rPr>
      <w:rFonts w:cs="Tahoma"/>
      <w:b/>
      <w:color w:val="000000"/>
      <w:lang w:val="en-US" w:eastAsia="en-US"/>
    </w:rPr>
  </w:style>
  <w:style w:type="paragraph" w:customStyle="1" w:styleId="af5">
    <w:name w:val="Содержимое таблицы"/>
    <w:basedOn w:val="a"/>
    <w:rsid w:val="006C2581"/>
    <w:pPr>
      <w:widowControl w:val="0"/>
      <w:suppressLineNumbers/>
    </w:pPr>
    <w:rPr>
      <w:rFonts w:cs="Tahom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6B7D0-0CED-4A40-B544-0579B691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19</Pages>
  <Words>2978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12</cp:revision>
  <cp:lastPrinted>2021-12-30T04:55:00Z</cp:lastPrinted>
  <dcterms:created xsi:type="dcterms:W3CDTF">2021-12-16T10:23:00Z</dcterms:created>
  <dcterms:modified xsi:type="dcterms:W3CDTF">2021-12-30T04:55:00Z</dcterms:modified>
</cp:coreProperties>
</file>